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Borders>
          <w:top w:val="single" w:sz="24" w:space="0" w:color="auto"/>
          <w:left w:val="single" w:sz="24" w:space="0" w:color="auto"/>
          <w:bottom w:val="single" w:sz="24" w:space="0" w:color="auto"/>
          <w:right w:val="single" w:sz="24" w:space="0" w:color="auto"/>
        </w:tblBorders>
        <w:tblLook w:val="01E0" w:firstRow="1" w:lastRow="1" w:firstColumn="1" w:lastColumn="1" w:noHBand="0" w:noVBand="0"/>
      </w:tblPr>
      <w:tblGrid>
        <w:gridCol w:w="1982"/>
        <w:gridCol w:w="7030"/>
      </w:tblGrid>
      <w:tr>
        <w:trPr>
          <w:trHeight w:val="843"/>
        </w:trPr>
        <w:tc>
          <w:tcPr>
            <w:tcW w:w="2041" w:type="dxa"/>
            <w:vMerge w:val="restart"/>
          </w:tcPr>
          <w:p>
            <w:pPr>
              <w:jc w:val="center"/>
              <w:rPr>
                <w:rFonts w:ascii="Verdana" w:hAnsi="Verdana"/>
                <w:b/>
                <w:color w:val="FF0000"/>
                <w:sz w:val="16"/>
                <w:szCs w:val="16"/>
              </w:rPr>
            </w:pPr>
            <w:r>
              <w:rPr>
                <w:rFonts w:ascii="Verdana" w:hAnsi="Verdana"/>
                <w:b/>
                <w:noProof/>
                <w:color w:val="FF0000"/>
                <w:sz w:val="16"/>
                <w:szCs w:val="16"/>
                <w:lang w:eastAsia="fr-BE"/>
              </w:rPr>
              <w:drawing>
                <wp:anchor distT="0" distB="0" distL="114300" distR="114300" simplePos="0" relativeHeight="251686912" behindDoc="1" locked="0" layoutInCell="1" allowOverlap="1">
                  <wp:simplePos x="0" y="0"/>
                  <wp:positionH relativeFrom="column">
                    <wp:posOffset>18415</wp:posOffset>
                  </wp:positionH>
                  <wp:positionV relativeFrom="paragraph">
                    <wp:posOffset>-1083310</wp:posOffset>
                  </wp:positionV>
                  <wp:extent cx="849630" cy="958850"/>
                  <wp:effectExtent l="0" t="0" r="7620" b="0"/>
                  <wp:wrapTight wrapText="bothSides">
                    <wp:wrapPolygon edited="0">
                      <wp:start x="0" y="0"/>
                      <wp:lineTo x="0" y="21028"/>
                      <wp:lineTo x="21309" y="21028"/>
                      <wp:lineTo x="21309" y="0"/>
                      <wp:lineTo x="0" y="0"/>
                    </wp:wrapPolygon>
                  </wp:wrapTight>
                  <wp:docPr id="119" name="Image 41" descr="Logo_FWB_Verti_Quad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Logo_FWB_Verti_Quadr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958850"/>
                          </a:xfrm>
                          <a:prstGeom prst="rect">
                            <a:avLst/>
                          </a:prstGeom>
                          <a:noFill/>
                        </pic:spPr>
                      </pic:pic>
                    </a:graphicData>
                  </a:graphic>
                  <wp14:sizeRelH relativeFrom="page">
                    <wp14:pctWidth>0</wp14:pctWidth>
                  </wp14:sizeRelH>
                  <wp14:sizeRelV relativeFrom="page">
                    <wp14:pctHeight>0</wp14:pctHeight>
                  </wp14:sizeRelV>
                </wp:anchor>
              </w:drawing>
            </w:r>
          </w:p>
          <w:p>
            <w:pPr>
              <w:jc w:val="center"/>
              <w:rPr>
                <w:rFonts w:ascii="Verdana" w:hAnsi="Verdana"/>
                <w:b/>
                <w:color w:val="FF0000"/>
                <w:sz w:val="16"/>
                <w:szCs w:val="16"/>
              </w:rPr>
            </w:pPr>
          </w:p>
        </w:tc>
        <w:tc>
          <w:tcPr>
            <w:tcW w:w="7607" w:type="dxa"/>
            <w:tcBorders>
              <w:bottom w:val="single" w:sz="4" w:space="0" w:color="auto"/>
            </w:tcBorders>
          </w:tcPr>
          <w:p>
            <w:pPr>
              <w:tabs>
                <w:tab w:val="left" w:pos="4106"/>
              </w:tabs>
            </w:pPr>
            <w:r>
              <w:rPr>
                <w:b/>
              </w:rPr>
              <w:t>Circulaire 6841</w:t>
            </w:r>
            <w:r>
              <w:rPr>
                <w:b/>
              </w:rPr>
              <w:tab/>
              <w:t>du 25/09/2018</w:t>
            </w:r>
          </w:p>
          <w:p>
            <w:pPr>
              <w:jc w:val="center"/>
              <w:rPr>
                <w:b/>
                <w:color w:val="FF0000"/>
              </w:rPr>
            </w:pPr>
            <w:r>
              <w:rPr>
                <w:b/>
              </w:rPr>
              <w:t>Circulaire à destination des établissements en charge d'un Centre de Technologies Avancées (CTA) relative aux modalités d'accueil et de fonctionnement des centres</w:t>
            </w:r>
          </w:p>
        </w:tc>
      </w:tr>
      <w:tr>
        <w:trPr>
          <w:trHeight w:val="1034"/>
        </w:trPr>
        <w:tc>
          <w:tcPr>
            <w:tcW w:w="2041" w:type="dxa"/>
            <w:vMerge/>
          </w:tcPr>
          <w:p>
            <w:pPr>
              <w:jc w:val="center"/>
              <w:rPr>
                <w:rFonts w:ascii="Verdana" w:hAnsi="Verdana"/>
                <w:b/>
                <w:color w:val="FF0000"/>
                <w:sz w:val="16"/>
                <w:szCs w:val="16"/>
              </w:rPr>
            </w:pPr>
          </w:p>
        </w:tc>
        <w:tc>
          <w:tcPr>
            <w:tcW w:w="7607" w:type="dxa"/>
            <w:tcBorders>
              <w:top w:val="single" w:sz="4" w:space="0" w:color="auto"/>
            </w:tcBorders>
          </w:tcPr>
          <w:p>
            <w:pPr>
              <w:rPr>
                <w:b/>
                <w:i/>
                <w:color w:val="000000"/>
                <w:u w:val="single"/>
              </w:rPr>
            </w:pPr>
          </w:p>
          <w:p>
            <w:pPr>
              <w:rPr>
                <w:b/>
                <w:i/>
                <w:color w:val="000000"/>
                <w:u w:val="single"/>
              </w:rPr>
            </w:pPr>
            <w:r>
              <w:rPr>
                <w:b/>
                <w:i/>
                <w:color w:val="000000"/>
                <w:u w:val="single"/>
              </w:rPr>
              <w:t>Cette circulaire abroge la circulaire n°6781 du 23 août 2018.</w:t>
            </w:r>
          </w:p>
        </w:tc>
      </w:tr>
    </w:tbl>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6120"/>
        <w:gridCol w:w="540"/>
      </w:tblGrid>
      <w:tr>
        <w:tc>
          <w:tcPr>
            <w:tcW w:w="3708" w:type="dxa"/>
            <w:vMerge w:val="restart"/>
          </w:tcPr>
          <w:p>
            <w:pPr>
              <w:ind w:left="180" w:hanging="180"/>
              <w:rPr>
                <w:b/>
                <w:sz w:val="20"/>
                <w:szCs w:val="20"/>
              </w:rPr>
            </w:pPr>
          </w:p>
          <w:p>
            <w:pPr>
              <w:shd w:val="clear" w:color="auto" w:fill="D9D9D9"/>
              <w:ind w:left="180" w:hanging="180"/>
              <w:rPr>
                <w:sz w:val="20"/>
                <w:szCs w:val="20"/>
              </w:rPr>
            </w:pPr>
            <w:r>
              <w:rPr>
                <w:b/>
                <w:sz w:val="20"/>
                <w:szCs w:val="20"/>
              </w:rPr>
              <w:t>Réseaux et niveaux concernés</w:t>
            </w:r>
          </w:p>
          <w:p>
            <w:pPr>
              <w:ind w:left="180" w:hanging="180"/>
              <w:rPr>
                <w:sz w:val="20"/>
                <w:szCs w:val="20"/>
              </w:rPr>
            </w:pPr>
          </w:p>
          <w:p>
            <w:pPr>
              <w:ind w:left="180" w:hanging="180"/>
              <w:rPr>
                <w:sz w:val="20"/>
                <w:szCs w:val="20"/>
              </w:rPr>
            </w:pPr>
            <w:r>
              <w:rPr>
                <w:sz w:val="20"/>
                <w:szCs w:val="20"/>
              </w:rPr>
              <w:fldChar w:fldCharType="begin">
                <w:ffData>
                  <w:name w:val="CaseACocher3"/>
                  <w:enabled/>
                  <w:calcOnExit w:val="0"/>
                  <w:checkBox>
                    <w:sizeAuto/>
                    <w:default w:val="0"/>
                    <w:checked/>
                  </w:checkBox>
                </w:ffData>
              </w:fldChar>
            </w:r>
            <w:bookmarkStart w:id="0" w:name="CaseACocher3"/>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0"/>
            <w:r>
              <w:rPr>
                <w:sz w:val="20"/>
                <w:szCs w:val="20"/>
              </w:rPr>
              <w:t xml:space="preserve"> Communauté française </w:t>
            </w:r>
          </w:p>
          <w:p>
            <w:pPr>
              <w:ind w:left="180" w:hanging="180"/>
              <w:rPr>
                <w:sz w:val="20"/>
                <w:szCs w:val="20"/>
              </w:rPr>
            </w:pPr>
          </w:p>
          <w:p>
            <w:pPr>
              <w:ind w:left="180" w:hanging="180"/>
              <w:rPr>
                <w:sz w:val="20"/>
                <w:szCs w:val="20"/>
              </w:rPr>
            </w:pPr>
            <w:r>
              <w:rPr>
                <w:sz w:val="20"/>
                <w:szCs w:val="20"/>
              </w:rPr>
              <w:fldChar w:fldCharType="begin">
                <w:ffData>
                  <w:name w:val="CaseACocher4"/>
                  <w:enabled/>
                  <w:calcOnExit w:val="0"/>
                  <w:checkBox>
                    <w:sizeAuto/>
                    <w:default w:val="0"/>
                    <w:checked/>
                  </w:checkBox>
                </w:ffData>
              </w:fldChar>
            </w:r>
            <w:bookmarkStart w:id="1" w:name="CaseACocher4"/>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1"/>
            <w:r>
              <w:rPr>
                <w:sz w:val="20"/>
                <w:szCs w:val="20"/>
              </w:rPr>
              <w:t xml:space="preserve"> Libre subventionné</w:t>
            </w:r>
          </w:p>
          <w:p>
            <w:pPr>
              <w:ind w:left="96"/>
              <w:rPr>
                <w:sz w:val="20"/>
                <w:szCs w:val="20"/>
              </w:rPr>
            </w:pP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bookmarkStart w:id="2" w:name="CaseACocher5"/>
            <w:r>
              <w:rPr>
                <w:rFonts w:ascii="Symbol" w:hAnsi="Symbol"/>
                <w:sz w:val="20"/>
                <w:szCs w:val="20"/>
              </w:rPr>
              <w:fldChar w:fldCharType="begin">
                <w:ffData>
                  <w:name w:val="CaseACocher5"/>
                  <w:enabled w:val="0"/>
                  <w:calcOnExit w:val="0"/>
                  <w:checkBox>
                    <w:sizeAuto/>
                    <w:default w:val="0"/>
                  </w:checkBox>
                </w:ffData>
              </w:fldChar>
            </w:r>
            <w:r>
              <w:rPr>
                <w:rFonts w:ascii="Symbol" w:hAnsi="Symbol"/>
                <w:sz w:val="20"/>
                <w:szCs w:val="20"/>
              </w:rPr>
              <w:instrText xml:space="preserve"> FORMCHECKBOX </w:instrText>
            </w:r>
            <w:r>
              <w:rPr>
                <w:rFonts w:ascii="Symbol" w:hAnsi="Symbol"/>
                <w:sz w:val="20"/>
                <w:szCs w:val="20"/>
              </w:rPr>
            </w:r>
            <w:r>
              <w:rPr>
                <w:rFonts w:ascii="Symbol" w:hAnsi="Symbol"/>
                <w:sz w:val="20"/>
                <w:szCs w:val="20"/>
              </w:rPr>
              <w:fldChar w:fldCharType="separate"/>
            </w:r>
            <w:r>
              <w:rPr>
                <w:rFonts w:ascii="Symbol" w:hAnsi="Symbol"/>
                <w:sz w:val="20"/>
                <w:szCs w:val="20"/>
              </w:rPr>
              <w:fldChar w:fldCharType="end"/>
            </w:r>
            <w:bookmarkEnd w:id="2"/>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sz w:val="20"/>
                <w:szCs w:val="20"/>
              </w:rPr>
              <w:t xml:space="preserve">libre confessionnel </w:t>
            </w:r>
          </w:p>
          <w:p>
            <w:pPr>
              <w:ind w:left="96"/>
              <w:rPr>
                <w:sz w:val="20"/>
                <w:szCs w:val="20"/>
              </w:rPr>
            </w:pP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bookmarkStart w:id="3" w:name="CaseACocher6"/>
            <w:r>
              <w:rPr>
                <w:rFonts w:ascii="Symbol" w:hAnsi="Symbol"/>
                <w:sz w:val="20"/>
                <w:szCs w:val="20"/>
              </w:rPr>
              <w:fldChar w:fldCharType="begin">
                <w:ffData>
                  <w:name w:val="CaseACocher6"/>
                  <w:enabled w:val="0"/>
                  <w:calcOnExit w:val="0"/>
                  <w:checkBox>
                    <w:sizeAuto/>
                    <w:default w:val="0"/>
                  </w:checkBox>
                </w:ffData>
              </w:fldChar>
            </w:r>
            <w:r>
              <w:rPr>
                <w:rFonts w:ascii="Symbol" w:hAnsi="Symbol"/>
                <w:sz w:val="20"/>
                <w:szCs w:val="20"/>
              </w:rPr>
              <w:instrText xml:space="preserve"> FORMCHECKBOX </w:instrText>
            </w:r>
            <w:r>
              <w:rPr>
                <w:rFonts w:ascii="Symbol" w:hAnsi="Symbol"/>
                <w:sz w:val="20"/>
                <w:szCs w:val="20"/>
              </w:rPr>
            </w:r>
            <w:r>
              <w:rPr>
                <w:rFonts w:ascii="Symbol" w:hAnsi="Symbol"/>
                <w:sz w:val="20"/>
                <w:szCs w:val="20"/>
              </w:rPr>
              <w:fldChar w:fldCharType="separate"/>
            </w:r>
            <w:r>
              <w:rPr>
                <w:rFonts w:ascii="Symbol" w:hAnsi="Symbol"/>
                <w:sz w:val="20"/>
                <w:szCs w:val="20"/>
              </w:rPr>
              <w:fldChar w:fldCharType="end"/>
            </w:r>
            <w:bookmarkEnd w:id="3"/>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sz w:val="20"/>
                <w:szCs w:val="20"/>
              </w:rPr>
              <w:t xml:space="preserve">libre non confessionnel </w:t>
            </w:r>
          </w:p>
          <w:p>
            <w:pPr>
              <w:ind w:left="180" w:hanging="180"/>
              <w:rPr>
                <w:sz w:val="20"/>
                <w:szCs w:val="20"/>
              </w:rPr>
            </w:pPr>
          </w:p>
          <w:p>
            <w:pPr>
              <w:ind w:left="180" w:hanging="180"/>
              <w:rPr>
                <w:sz w:val="20"/>
                <w:szCs w:val="20"/>
              </w:rPr>
            </w:pPr>
            <w:r>
              <w:rPr>
                <w:sz w:val="20"/>
                <w:szCs w:val="20"/>
              </w:rPr>
              <w:fldChar w:fldCharType="begin">
                <w:ffData>
                  <w:name w:val="CaseACocher7"/>
                  <w:enabled/>
                  <w:calcOnExit w:val="0"/>
                  <w:checkBox>
                    <w:sizeAuto/>
                    <w:default w:val="0"/>
                    <w:checked/>
                  </w:checkBox>
                </w:ffData>
              </w:fldChar>
            </w:r>
            <w:bookmarkStart w:id="4" w:name="CaseACocher7"/>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4"/>
            <w:r>
              <w:rPr>
                <w:sz w:val="20"/>
                <w:szCs w:val="20"/>
              </w:rPr>
              <w:t>Officiel subventionné</w:t>
            </w:r>
          </w:p>
          <w:p>
            <w:pPr>
              <w:ind w:left="180" w:hanging="180"/>
              <w:rPr>
                <w:color w:val="000000"/>
                <w:sz w:val="20"/>
                <w:szCs w:val="20"/>
              </w:rPr>
            </w:pPr>
            <w:r>
              <w:rPr>
                <w:color w:val="FF0000"/>
                <w:sz w:val="20"/>
                <w:szCs w:val="20"/>
              </w:rPr>
              <w:br/>
            </w:r>
            <w:bookmarkStart w:id="5" w:name="CaseACocher8"/>
            <w:r>
              <w:rPr>
                <w:color w:val="000000"/>
                <w:sz w:val="20"/>
                <w:szCs w:val="20"/>
              </w:rPr>
              <w:fldChar w:fldCharType="begin">
                <w:ffData>
                  <w:name w:val="CaseACocher8"/>
                  <w:enabled w:val="0"/>
                  <w:calcOnExit w:val="0"/>
                  <w:checkBox>
                    <w:sizeAuto/>
                    <w:default w:val="0"/>
                  </w:checkBox>
                </w:ffData>
              </w:fldChar>
            </w:r>
            <w:r>
              <w:rPr>
                <w:color w:val="000000"/>
                <w:sz w:val="20"/>
                <w:szCs w:val="20"/>
              </w:rPr>
              <w:instrText xml:space="preserve"> FORMCHECKBOX </w:instrText>
            </w:r>
            <w:r>
              <w:rPr>
                <w:color w:val="000000"/>
                <w:sz w:val="20"/>
                <w:szCs w:val="20"/>
              </w:rPr>
            </w:r>
            <w:r>
              <w:rPr>
                <w:color w:val="000000"/>
                <w:sz w:val="20"/>
                <w:szCs w:val="20"/>
              </w:rPr>
              <w:fldChar w:fldCharType="separate"/>
            </w:r>
            <w:r>
              <w:rPr>
                <w:color w:val="000000"/>
                <w:sz w:val="20"/>
                <w:szCs w:val="20"/>
              </w:rPr>
              <w:fldChar w:fldCharType="end"/>
            </w:r>
            <w:bookmarkEnd w:id="5"/>
            <w:r>
              <w:rPr>
                <w:color w:val="000000"/>
                <w:sz w:val="20"/>
                <w:szCs w:val="20"/>
              </w:rPr>
              <w:t xml:space="preserve"> </w:t>
            </w:r>
            <w:r>
              <w:rPr>
                <w:sz w:val="20"/>
                <w:szCs w:val="20"/>
              </w:rPr>
              <w:t xml:space="preserve">Niveaux : </w:t>
            </w:r>
          </w:p>
          <w:p>
            <w:pPr>
              <w:ind w:left="180" w:hanging="180"/>
              <w:rPr>
                <w:color w:val="FF0000"/>
                <w:sz w:val="20"/>
                <w:szCs w:val="20"/>
              </w:rPr>
            </w:pPr>
          </w:p>
          <w:p>
            <w:pPr>
              <w:shd w:val="clear" w:color="auto" w:fill="D9D9D9"/>
              <w:ind w:left="180" w:hanging="180"/>
              <w:rPr>
                <w:sz w:val="20"/>
                <w:szCs w:val="20"/>
              </w:rPr>
            </w:pPr>
            <w:r>
              <w:rPr>
                <w:b/>
                <w:sz w:val="20"/>
                <w:szCs w:val="20"/>
              </w:rPr>
              <w:t>Type de circulaire</w:t>
            </w:r>
          </w:p>
          <w:p>
            <w:pPr>
              <w:tabs>
                <w:tab w:val="left" w:pos="5580"/>
              </w:tabs>
              <w:ind w:left="180" w:hanging="180"/>
              <w:rPr>
                <w:sz w:val="20"/>
                <w:szCs w:val="20"/>
              </w:rPr>
            </w:pPr>
          </w:p>
          <w:p>
            <w:pPr>
              <w:tabs>
                <w:tab w:val="left" w:pos="5580"/>
              </w:tabs>
              <w:ind w:left="180" w:hanging="180"/>
              <w:rPr>
                <w:sz w:val="20"/>
                <w:szCs w:val="20"/>
              </w:rPr>
            </w:pPr>
            <w:r>
              <w:rPr>
                <w:sz w:val="20"/>
                <w:szCs w:val="20"/>
              </w:rPr>
              <w:fldChar w:fldCharType="begin">
                <w:ffData>
                  <w:name w:val="CaseACocher9"/>
                  <w:enabled/>
                  <w:calcOnExit w:val="0"/>
                  <w:checkBox>
                    <w:sizeAuto/>
                    <w:default w:val="0"/>
                  </w:checkBox>
                </w:ffData>
              </w:fldChar>
            </w:r>
            <w:bookmarkStart w:id="6" w:name="CaseACocher9"/>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6"/>
            <w:r>
              <w:rPr>
                <w:sz w:val="20"/>
                <w:szCs w:val="20"/>
              </w:rPr>
              <w:t xml:space="preserve"> Circulaire administrative</w:t>
            </w:r>
          </w:p>
          <w:p>
            <w:pPr>
              <w:tabs>
                <w:tab w:val="left" w:pos="5580"/>
              </w:tabs>
              <w:ind w:left="180" w:hanging="180"/>
              <w:rPr>
                <w:sz w:val="20"/>
                <w:szCs w:val="20"/>
              </w:rPr>
            </w:pPr>
          </w:p>
          <w:p>
            <w:pPr>
              <w:tabs>
                <w:tab w:val="left" w:pos="5580"/>
              </w:tabs>
              <w:ind w:left="180" w:hanging="180"/>
              <w:rPr>
                <w:sz w:val="20"/>
                <w:szCs w:val="20"/>
              </w:rPr>
            </w:pPr>
            <w:r>
              <w:rPr>
                <w:sz w:val="20"/>
                <w:szCs w:val="20"/>
              </w:rPr>
              <w:fldChar w:fldCharType="begin">
                <w:ffData>
                  <w:name w:val="CaseACocher10"/>
                  <w:enabled/>
                  <w:calcOnExit w:val="0"/>
                  <w:checkBox>
                    <w:sizeAuto/>
                    <w:default w:val="1"/>
                  </w:checkBox>
                </w:ffData>
              </w:fldChar>
            </w:r>
            <w:bookmarkStart w:id="7" w:name="CaseACocher10"/>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7"/>
            <w:r>
              <w:rPr>
                <w:sz w:val="20"/>
                <w:szCs w:val="20"/>
              </w:rPr>
              <w:t xml:space="preserve"> Circulaire informative</w:t>
            </w:r>
          </w:p>
          <w:p>
            <w:pPr>
              <w:tabs>
                <w:tab w:val="left" w:pos="1980"/>
                <w:tab w:val="left" w:pos="4500"/>
                <w:tab w:val="left" w:leader="dot" w:pos="8460"/>
              </w:tabs>
              <w:ind w:left="180" w:hanging="180"/>
              <w:rPr>
                <w:sz w:val="20"/>
                <w:szCs w:val="20"/>
              </w:rPr>
            </w:pPr>
          </w:p>
          <w:p>
            <w:pPr>
              <w:shd w:val="clear" w:color="auto" w:fill="D9D9D9"/>
              <w:ind w:left="180" w:hanging="180"/>
              <w:rPr>
                <w:sz w:val="20"/>
                <w:szCs w:val="20"/>
              </w:rPr>
            </w:pPr>
            <w:r>
              <w:rPr>
                <w:b/>
                <w:sz w:val="20"/>
                <w:szCs w:val="20"/>
              </w:rPr>
              <w:t>Période de validité</w:t>
            </w:r>
          </w:p>
          <w:p>
            <w:pPr>
              <w:tabs>
                <w:tab w:val="left" w:pos="3420"/>
                <w:tab w:val="left" w:pos="6840"/>
              </w:tabs>
              <w:ind w:left="180" w:hanging="180"/>
              <w:rPr>
                <w:sz w:val="20"/>
                <w:szCs w:val="20"/>
              </w:rPr>
            </w:pPr>
          </w:p>
          <w:p>
            <w:pPr>
              <w:tabs>
                <w:tab w:val="left" w:pos="3420"/>
                <w:tab w:val="left" w:pos="6840"/>
              </w:tabs>
              <w:ind w:left="180" w:hanging="180"/>
              <w:rPr>
                <w:color w:val="000000"/>
                <w:sz w:val="20"/>
                <w:szCs w:val="20"/>
              </w:rPr>
            </w:pPr>
            <w:r>
              <w:rPr>
                <w:sz w:val="20"/>
                <w:szCs w:val="20"/>
              </w:rPr>
              <w:fldChar w:fldCharType="begin">
                <w:ffData>
                  <w:name w:val="CaseACocher11"/>
                  <w:enabled w:val="0"/>
                  <w:calcOnExit w:val="0"/>
                  <w:checkBox>
                    <w:sizeAuto/>
                    <w:default w:val="1"/>
                  </w:checkBox>
                </w:ffData>
              </w:fldChar>
            </w:r>
            <w:bookmarkStart w:id="8" w:name="CaseACocher11"/>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8"/>
            <w:r>
              <w:rPr>
                <w:sz w:val="20"/>
                <w:szCs w:val="20"/>
              </w:rPr>
              <w:t xml:space="preserve"> A </w:t>
            </w:r>
            <w:r>
              <w:rPr>
                <w:color w:val="000000"/>
                <w:sz w:val="20"/>
                <w:szCs w:val="20"/>
              </w:rPr>
              <w:t>partir du  1</w:t>
            </w:r>
            <w:r>
              <w:rPr>
                <w:color w:val="000000"/>
                <w:sz w:val="20"/>
                <w:szCs w:val="20"/>
                <w:vertAlign w:val="superscript"/>
              </w:rPr>
              <w:t>er</w:t>
            </w:r>
            <w:r>
              <w:rPr>
                <w:color w:val="000000"/>
                <w:sz w:val="20"/>
                <w:szCs w:val="20"/>
              </w:rPr>
              <w:t xml:space="preserve"> septembre 2018</w:t>
            </w:r>
          </w:p>
          <w:p>
            <w:pPr>
              <w:tabs>
                <w:tab w:val="left" w:pos="3420"/>
                <w:tab w:val="left" w:pos="6840"/>
              </w:tabs>
              <w:rPr>
                <w:color w:val="000000"/>
                <w:sz w:val="20"/>
                <w:szCs w:val="20"/>
              </w:rPr>
            </w:pPr>
          </w:p>
          <w:p>
            <w:pPr>
              <w:tabs>
                <w:tab w:val="left" w:pos="3420"/>
                <w:tab w:val="left" w:pos="6840"/>
              </w:tabs>
              <w:ind w:left="180" w:hanging="180"/>
              <w:rPr>
                <w:color w:val="000000"/>
                <w:sz w:val="20"/>
                <w:szCs w:val="20"/>
              </w:rPr>
            </w:pPr>
            <w:r>
              <w:rPr>
                <w:color w:val="000000"/>
                <w:sz w:val="20"/>
                <w:szCs w:val="20"/>
              </w:rPr>
              <w:fldChar w:fldCharType="begin">
                <w:ffData>
                  <w:name w:val="CaseACocher12"/>
                  <w:enabled/>
                  <w:calcOnExit w:val="0"/>
                  <w:checkBox>
                    <w:sizeAuto/>
                    <w:default w:val="0"/>
                    <w:checked w:val="0"/>
                  </w:checkBox>
                </w:ffData>
              </w:fldChar>
            </w:r>
            <w:bookmarkStart w:id="9" w:name="CaseACocher12"/>
            <w:r>
              <w:rPr>
                <w:color w:val="000000"/>
                <w:sz w:val="20"/>
                <w:szCs w:val="20"/>
              </w:rPr>
              <w:instrText xml:space="preserve"> FORMCHECKBOX </w:instrText>
            </w:r>
            <w:r>
              <w:rPr>
                <w:color w:val="000000"/>
                <w:sz w:val="20"/>
                <w:szCs w:val="20"/>
              </w:rPr>
            </w:r>
            <w:r>
              <w:rPr>
                <w:color w:val="000000"/>
                <w:sz w:val="20"/>
                <w:szCs w:val="20"/>
              </w:rPr>
              <w:fldChar w:fldCharType="separate"/>
            </w:r>
            <w:r>
              <w:rPr>
                <w:color w:val="000000"/>
                <w:sz w:val="20"/>
                <w:szCs w:val="20"/>
              </w:rPr>
              <w:fldChar w:fldCharType="end"/>
            </w:r>
            <w:bookmarkEnd w:id="9"/>
            <w:r>
              <w:rPr>
                <w:color w:val="000000"/>
                <w:sz w:val="20"/>
                <w:szCs w:val="20"/>
              </w:rPr>
              <w:t xml:space="preserve"> Du </w:t>
            </w:r>
            <w:bookmarkStart w:id="10" w:name="Texte27"/>
            <w:r>
              <w:rPr>
                <w:color w:val="000000"/>
                <w:sz w:val="20"/>
                <w:szCs w:val="20"/>
              </w:rPr>
              <w:fldChar w:fldCharType="begin">
                <w:ffData>
                  <w:name w:val="Texte27"/>
                  <w:enabled/>
                  <w:calcOnExit w:val="0"/>
                  <w:textInput>
                    <w:type w:val="date"/>
                    <w:format w:val="dd/MM/yyyy"/>
                  </w:textInput>
                </w:ffData>
              </w:fldChar>
            </w:r>
            <w:r>
              <w:rPr>
                <w:color w:val="000000"/>
                <w:sz w:val="20"/>
                <w:szCs w:val="20"/>
              </w:rPr>
              <w:instrText xml:space="preserve"> FORMTEXT </w:instrText>
            </w:r>
            <w:r>
              <w:rPr>
                <w:color w:val="000000"/>
                <w:sz w:val="20"/>
                <w:szCs w:val="20"/>
              </w:rPr>
            </w:r>
            <w:r>
              <w:rPr>
                <w:color w:val="000000"/>
                <w:sz w:val="20"/>
                <w:szCs w:val="20"/>
              </w:rPr>
              <w:fldChar w:fldCharType="separate"/>
            </w:r>
            <w:r>
              <w:rPr>
                <w:color w:val="000000"/>
                <w:sz w:val="20"/>
                <w:szCs w:val="20"/>
              </w:rPr>
              <w:t> </w:t>
            </w:r>
            <w:r>
              <w:rPr>
                <w:color w:val="000000"/>
                <w:sz w:val="20"/>
                <w:szCs w:val="20"/>
              </w:rPr>
              <w:t> </w:t>
            </w:r>
            <w:r>
              <w:rPr>
                <w:color w:val="000000"/>
                <w:sz w:val="20"/>
                <w:szCs w:val="20"/>
              </w:rPr>
              <w:t> </w:t>
            </w:r>
            <w:r>
              <w:rPr>
                <w:color w:val="000000"/>
                <w:sz w:val="20"/>
                <w:szCs w:val="20"/>
              </w:rPr>
              <w:t> </w:t>
            </w:r>
            <w:r>
              <w:rPr>
                <w:color w:val="000000"/>
                <w:sz w:val="20"/>
                <w:szCs w:val="20"/>
              </w:rPr>
              <w:t> </w:t>
            </w:r>
            <w:r>
              <w:rPr>
                <w:color w:val="000000"/>
                <w:sz w:val="20"/>
                <w:szCs w:val="20"/>
              </w:rPr>
              <w:fldChar w:fldCharType="end"/>
            </w:r>
            <w:bookmarkEnd w:id="10"/>
            <w:r>
              <w:rPr>
                <w:color w:val="000000"/>
                <w:sz w:val="20"/>
                <w:szCs w:val="20"/>
              </w:rPr>
              <w:t xml:space="preserve"> au </w:t>
            </w:r>
            <w:bookmarkStart w:id="11" w:name="Texte28"/>
            <w:r>
              <w:rPr>
                <w:color w:val="000000"/>
                <w:sz w:val="20"/>
                <w:szCs w:val="20"/>
              </w:rPr>
              <w:fldChar w:fldCharType="begin">
                <w:ffData>
                  <w:name w:val="Texte28"/>
                  <w:enabled/>
                  <w:calcOnExit w:val="0"/>
                  <w:textInput>
                    <w:type w:val="date"/>
                    <w:format w:val="dd/MM/yyyy"/>
                  </w:textInput>
                </w:ffData>
              </w:fldChar>
            </w:r>
            <w:r>
              <w:rPr>
                <w:color w:val="000000"/>
                <w:sz w:val="20"/>
                <w:szCs w:val="20"/>
              </w:rPr>
              <w:instrText xml:space="preserve"> FORMTEXT </w:instrText>
            </w:r>
            <w:r>
              <w:rPr>
                <w:color w:val="000000"/>
                <w:sz w:val="20"/>
                <w:szCs w:val="20"/>
              </w:rPr>
            </w:r>
            <w:r>
              <w:rPr>
                <w:color w:val="000000"/>
                <w:sz w:val="20"/>
                <w:szCs w:val="20"/>
              </w:rPr>
              <w:fldChar w:fldCharType="separate"/>
            </w:r>
            <w:r>
              <w:rPr>
                <w:color w:val="000000"/>
                <w:sz w:val="20"/>
                <w:szCs w:val="20"/>
              </w:rPr>
              <w:t> </w:t>
            </w:r>
            <w:r>
              <w:rPr>
                <w:color w:val="000000"/>
                <w:sz w:val="20"/>
                <w:szCs w:val="20"/>
              </w:rPr>
              <w:t> </w:t>
            </w:r>
            <w:r>
              <w:rPr>
                <w:color w:val="000000"/>
                <w:sz w:val="20"/>
                <w:szCs w:val="20"/>
              </w:rPr>
              <w:t> </w:t>
            </w:r>
            <w:r>
              <w:rPr>
                <w:color w:val="000000"/>
                <w:sz w:val="20"/>
                <w:szCs w:val="20"/>
              </w:rPr>
              <w:t> </w:t>
            </w:r>
            <w:r>
              <w:rPr>
                <w:color w:val="000000"/>
                <w:sz w:val="20"/>
                <w:szCs w:val="20"/>
              </w:rPr>
              <w:t> </w:t>
            </w:r>
            <w:r>
              <w:rPr>
                <w:color w:val="000000"/>
                <w:sz w:val="20"/>
                <w:szCs w:val="20"/>
              </w:rPr>
              <w:fldChar w:fldCharType="end"/>
            </w:r>
            <w:bookmarkEnd w:id="11"/>
          </w:p>
          <w:p>
            <w:pPr>
              <w:ind w:left="180" w:hanging="180"/>
              <w:rPr>
                <w:sz w:val="20"/>
                <w:szCs w:val="20"/>
              </w:rPr>
            </w:pPr>
          </w:p>
          <w:p>
            <w:pPr>
              <w:shd w:val="clear" w:color="auto" w:fill="D9D9D9"/>
              <w:ind w:left="180" w:hanging="180"/>
              <w:rPr>
                <w:sz w:val="20"/>
                <w:szCs w:val="20"/>
              </w:rPr>
            </w:pPr>
            <w:r>
              <w:rPr>
                <w:b/>
                <w:sz w:val="20"/>
                <w:szCs w:val="20"/>
              </w:rPr>
              <w:t>Documents à renvoyer</w:t>
            </w:r>
          </w:p>
          <w:p>
            <w:pPr>
              <w:tabs>
                <w:tab w:val="left" w:pos="3420"/>
                <w:tab w:val="left" w:pos="6840"/>
              </w:tabs>
              <w:ind w:left="180" w:hanging="180"/>
              <w:rPr>
                <w:sz w:val="20"/>
                <w:szCs w:val="20"/>
              </w:rPr>
            </w:pPr>
          </w:p>
          <w:p>
            <w:pPr>
              <w:tabs>
                <w:tab w:val="left" w:pos="3420"/>
                <w:tab w:val="left" w:pos="6840"/>
              </w:tabs>
              <w:ind w:left="180" w:hanging="180"/>
              <w:rPr>
                <w:sz w:val="20"/>
                <w:szCs w:val="20"/>
              </w:rPr>
            </w:pPr>
            <w:r>
              <w:rPr>
                <w:sz w:val="20"/>
                <w:szCs w:val="20"/>
              </w:rPr>
              <w:fldChar w:fldCharType="begin">
                <w:ffData>
                  <w:name w:val="CaseACocher13"/>
                  <w:enabled/>
                  <w:calcOnExit w:val="0"/>
                  <w:checkBox>
                    <w:sizeAuto/>
                    <w:default w:val="0"/>
                    <w:checked/>
                  </w:checkBox>
                </w:ffData>
              </w:fldChar>
            </w:r>
            <w:bookmarkStart w:id="12" w:name="CaseACocher13"/>
            <w:r>
              <w:rPr>
                <w:sz w:val="20"/>
                <w:szCs w:val="20"/>
              </w:rPr>
              <w:instrText xml:space="preserve"> FORMCHECKBOX </w:instrText>
            </w:r>
            <w:r>
              <w:rPr>
                <w:sz w:val="20"/>
                <w:szCs w:val="20"/>
              </w:rPr>
            </w:r>
            <w:r>
              <w:rPr>
                <w:sz w:val="20"/>
                <w:szCs w:val="20"/>
              </w:rPr>
              <w:fldChar w:fldCharType="separate"/>
            </w:r>
            <w:r>
              <w:rPr>
                <w:sz w:val="20"/>
                <w:szCs w:val="20"/>
              </w:rPr>
              <w:fldChar w:fldCharType="end"/>
            </w:r>
            <w:bookmarkEnd w:id="12"/>
            <w:r>
              <w:rPr>
                <w:sz w:val="20"/>
                <w:szCs w:val="20"/>
              </w:rPr>
              <w:t xml:space="preserve"> Oui </w:t>
            </w:r>
          </w:p>
          <w:p>
            <w:pPr>
              <w:tabs>
                <w:tab w:val="left" w:pos="3420"/>
                <w:tab w:val="left" w:pos="6840"/>
              </w:tabs>
              <w:ind w:left="180" w:hanging="180"/>
              <w:rPr>
                <w:sz w:val="20"/>
                <w:szCs w:val="20"/>
              </w:rPr>
            </w:pPr>
          </w:p>
          <w:bookmarkStart w:id="13" w:name="CaseACocher14"/>
          <w:p>
            <w:pPr>
              <w:ind w:left="96"/>
              <w:rPr>
                <w:sz w:val="20"/>
                <w:szCs w:val="20"/>
              </w:rPr>
            </w:pPr>
            <w:r>
              <w:rPr>
                <w:rFonts w:ascii="Symbol" w:hAnsi="Symbol"/>
                <w:sz w:val="20"/>
                <w:szCs w:val="20"/>
              </w:rPr>
              <w:fldChar w:fldCharType="begin">
                <w:ffData>
                  <w:name w:val="CaseACocher14"/>
                  <w:enabled w:val="0"/>
                  <w:calcOnExit w:val="0"/>
                  <w:checkBox>
                    <w:sizeAuto/>
                    <w:default w:val="0"/>
                  </w:checkBox>
                </w:ffData>
              </w:fldChar>
            </w:r>
            <w:r>
              <w:rPr>
                <w:rFonts w:ascii="Symbol" w:hAnsi="Symbol"/>
                <w:sz w:val="20"/>
                <w:szCs w:val="20"/>
              </w:rPr>
              <w:instrText xml:space="preserve"> FORMCHECKBOX </w:instrText>
            </w:r>
            <w:r>
              <w:rPr>
                <w:rFonts w:ascii="Symbol" w:hAnsi="Symbol"/>
                <w:sz w:val="20"/>
                <w:szCs w:val="20"/>
              </w:rPr>
            </w:r>
            <w:r>
              <w:rPr>
                <w:rFonts w:ascii="Symbol" w:hAnsi="Symbol"/>
                <w:sz w:val="20"/>
                <w:szCs w:val="20"/>
              </w:rPr>
              <w:fldChar w:fldCharType="separate"/>
            </w:r>
            <w:r>
              <w:rPr>
                <w:rFonts w:ascii="Symbol" w:hAnsi="Symbol"/>
                <w:sz w:val="20"/>
                <w:szCs w:val="20"/>
              </w:rPr>
              <w:fldChar w:fldCharType="end"/>
            </w:r>
            <w:bookmarkEnd w:id="13"/>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sz w:val="20"/>
                <w:szCs w:val="20"/>
              </w:rPr>
              <w:t xml:space="preserve">Date limite :   </w:t>
            </w:r>
          </w:p>
          <w:p>
            <w:pPr>
              <w:ind w:left="96"/>
              <w:rPr>
                <w:sz w:val="20"/>
                <w:szCs w:val="20"/>
              </w:rPr>
            </w:pPr>
          </w:p>
          <w:bookmarkStart w:id="14" w:name="CaseACocher15"/>
          <w:p>
            <w:pPr>
              <w:ind w:left="96"/>
              <w:rPr>
                <w:sz w:val="20"/>
                <w:szCs w:val="20"/>
              </w:rPr>
            </w:pPr>
            <w:r>
              <w:rPr>
                <w:rFonts w:ascii="Symbol" w:hAnsi="Symbol"/>
                <w:sz w:val="20"/>
                <w:szCs w:val="20"/>
              </w:rPr>
              <w:fldChar w:fldCharType="begin">
                <w:ffData>
                  <w:name w:val="CaseACocher15"/>
                  <w:enabled/>
                  <w:calcOnExit w:val="0"/>
                  <w:checkBox>
                    <w:sizeAuto/>
                    <w:default w:val="1"/>
                  </w:checkBox>
                </w:ffData>
              </w:fldChar>
            </w:r>
            <w:r>
              <w:rPr>
                <w:rFonts w:ascii="Symbol" w:hAnsi="Symbol"/>
                <w:sz w:val="20"/>
                <w:szCs w:val="20"/>
              </w:rPr>
              <w:instrText xml:space="preserve"> FORMCHECKBOX </w:instrText>
            </w:r>
            <w:r>
              <w:rPr>
                <w:rFonts w:ascii="Symbol" w:hAnsi="Symbol"/>
                <w:sz w:val="20"/>
                <w:szCs w:val="20"/>
              </w:rPr>
            </w:r>
            <w:r>
              <w:rPr>
                <w:rFonts w:ascii="Symbol" w:hAnsi="Symbol"/>
                <w:sz w:val="20"/>
                <w:szCs w:val="20"/>
              </w:rPr>
              <w:fldChar w:fldCharType="separate"/>
            </w:r>
            <w:r>
              <w:rPr>
                <w:rFonts w:ascii="Symbol" w:hAnsi="Symbol"/>
                <w:sz w:val="20"/>
                <w:szCs w:val="20"/>
              </w:rPr>
              <w:fldChar w:fldCharType="end"/>
            </w:r>
            <w:bookmarkEnd w:id="14"/>
            <w:r>
              <w:rPr>
                <w:rFonts w:ascii="Symbol" w:hAnsi="Symbol"/>
                <w:sz w:val="20"/>
                <w:szCs w:val="20"/>
              </w:rPr>
              <w:t></w:t>
            </w:r>
            <w:r>
              <w:rPr>
                <w:rFonts w:ascii="Symbol" w:hAnsi="Symbol"/>
                <w:sz w:val="20"/>
                <w:szCs w:val="20"/>
              </w:rPr>
              <w:t></w:t>
            </w:r>
            <w:r>
              <w:rPr>
                <w:rFonts w:ascii="Symbol" w:hAnsi="Symbol"/>
                <w:sz w:val="20"/>
                <w:szCs w:val="20"/>
              </w:rPr>
              <w:t></w:t>
            </w:r>
            <w:r>
              <w:rPr>
                <w:rFonts w:ascii="Symbol" w:hAnsi="Symbol"/>
                <w:sz w:val="20"/>
                <w:szCs w:val="20"/>
              </w:rPr>
              <w:t></w:t>
            </w:r>
            <w:r>
              <w:rPr>
                <w:sz w:val="20"/>
                <w:szCs w:val="20"/>
              </w:rPr>
              <w:t xml:space="preserve">Voir dates figurant dans la circulaire </w:t>
            </w:r>
          </w:p>
          <w:p>
            <w:pPr>
              <w:tabs>
                <w:tab w:val="left" w:pos="3420"/>
                <w:tab w:val="left" w:pos="6840"/>
              </w:tabs>
              <w:rPr>
                <w:sz w:val="20"/>
                <w:szCs w:val="20"/>
              </w:rPr>
            </w:pPr>
          </w:p>
          <w:p>
            <w:pPr>
              <w:shd w:val="clear" w:color="auto" w:fill="D9D9D9"/>
              <w:ind w:left="180" w:hanging="180"/>
              <w:rPr>
                <w:sz w:val="20"/>
                <w:szCs w:val="20"/>
              </w:rPr>
            </w:pPr>
            <w:r>
              <w:rPr>
                <w:b/>
                <w:sz w:val="20"/>
                <w:szCs w:val="20"/>
              </w:rPr>
              <w:t>Mot-clé :</w:t>
            </w:r>
          </w:p>
          <w:tbl>
            <w:tblPr>
              <w:tblW w:w="7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5"/>
              <w:gridCol w:w="415"/>
            </w:tblGrid>
            <w:tr>
              <w:tc>
                <w:tcPr>
                  <w:tcW w:w="7375" w:type="dxa"/>
                  <w:tcBorders>
                    <w:top w:val="nil"/>
                    <w:left w:val="nil"/>
                    <w:bottom w:val="nil"/>
                    <w:right w:val="nil"/>
                  </w:tcBorders>
                </w:tcPr>
                <w:p>
                  <w:pPr>
                    <w:autoSpaceDE w:val="0"/>
                    <w:autoSpaceDN w:val="0"/>
                    <w:adjustRightInd w:val="0"/>
                    <w:ind w:left="180" w:hanging="180"/>
                    <w:rPr>
                      <w:rFonts w:ascii="Verdana" w:hAnsi="Verdana"/>
                      <w:color w:val="FF0000"/>
                      <w:sz w:val="18"/>
                      <w:szCs w:val="18"/>
                    </w:rPr>
                  </w:pPr>
                </w:p>
                <w:p>
                  <w:pPr>
                    <w:autoSpaceDE w:val="0"/>
                    <w:autoSpaceDN w:val="0"/>
                    <w:adjustRightInd w:val="0"/>
                    <w:ind w:left="180" w:hanging="180"/>
                    <w:rPr>
                      <w:rFonts w:ascii="Verdana" w:hAnsi="Verdana"/>
                      <w:color w:val="000000"/>
                      <w:sz w:val="18"/>
                      <w:szCs w:val="18"/>
                    </w:rPr>
                  </w:pPr>
                  <w:r>
                    <w:rPr>
                      <w:rFonts w:ascii="Verdana" w:hAnsi="Verdana"/>
                      <w:color w:val="000000"/>
                      <w:sz w:val="18"/>
                      <w:szCs w:val="18"/>
                    </w:rPr>
                    <w:t>centres, technologies, avancées, CTA,</w:t>
                  </w:r>
                </w:p>
                <w:p>
                  <w:pPr>
                    <w:autoSpaceDE w:val="0"/>
                    <w:autoSpaceDN w:val="0"/>
                    <w:adjustRightInd w:val="0"/>
                    <w:ind w:left="180" w:hanging="180"/>
                    <w:rPr>
                      <w:rFonts w:ascii="Verdana" w:hAnsi="Verdana"/>
                      <w:color w:val="FF0000"/>
                      <w:sz w:val="18"/>
                      <w:szCs w:val="18"/>
                    </w:rPr>
                  </w:pPr>
                  <w:r>
                    <w:rPr>
                      <w:rFonts w:ascii="Verdana" w:hAnsi="Verdana"/>
                      <w:color w:val="000000"/>
                      <w:sz w:val="18"/>
                      <w:szCs w:val="18"/>
                    </w:rPr>
                    <w:t>fonctionnement</w:t>
                  </w:r>
                </w:p>
              </w:tc>
              <w:tc>
                <w:tcPr>
                  <w:tcW w:w="415" w:type="dxa"/>
                  <w:tcBorders>
                    <w:top w:val="nil"/>
                    <w:left w:val="nil"/>
                    <w:bottom w:val="nil"/>
                    <w:right w:val="nil"/>
                  </w:tcBorders>
                </w:tcPr>
                <w:p>
                  <w:pPr>
                    <w:tabs>
                      <w:tab w:val="left" w:pos="3420"/>
                      <w:tab w:val="left" w:pos="6840"/>
                    </w:tabs>
                    <w:ind w:left="180" w:hanging="180"/>
                    <w:rPr>
                      <w:rFonts w:ascii="Verdana" w:hAnsi="Verdana"/>
                      <w:sz w:val="18"/>
                      <w:szCs w:val="18"/>
                    </w:rPr>
                  </w:pPr>
                </w:p>
              </w:tc>
            </w:tr>
          </w:tbl>
          <w:p>
            <w:pPr>
              <w:shd w:val="clear" w:color="auto" w:fill="D9D9D9"/>
              <w:ind w:left="284"/>
              <w:rPr>
                <w:b/>
                <w:sz w:val="20"/>
                <w:szCs w:val="20"/>
              </w:rPr>
            </w:pPr>
          </w:p>
        </w:tc>
        <w:tc>
          <w:tcPr>
            <w:tcW w:w="6120" w:type="dxa"/>
            <w:vMerge w:val="restart"/>
            <w:tcBorders>
              <w:right w:val="single" w:sz="4" w:space="0" w:color="auto"/>
            </w:tcBorders>
          </w:tcPr>
          <w:p>
            <w:pPr>
              <w:shd w:val="clear" w:color="auto" w:fill="D9D9D9"/>
              <w:ind w:left="284"/>
              <w:rPr>
                <w:b/>
                <w:sz w:val="20"/>
                <w:szCs w:val="20"/>
              </w:rPr>
            </w:pPr>
          </w:p>
          <w:p>
            <w:pPr>
              <w:shd w:val="clear" w:color="auto" w:fill="D9D9D9"/>
              <w:ind w:left="284"/>
              <w:rPr>
                <w:sz w:val="20"/>
                <w:szCs w:val="20"/>
              </w:rPr>
            </w:pPr>
            <w:r>
              <w:rPr>
                <w:b/>
                <w:sz w:val="20"/>
                <w:szCs w:val="20"/>
              </w:rPr>
              <w:t>Destinataires de la circulaire</w:t>
            </w:r>
          </w:p>
          <w:p>
            <w:pPr>
              <w:autoSpaceDE w:val="0"/>
              <w:autoSpaceDN w:val="0"/>
              <w:adjustRightInd w:val="0"/>
              <w:ind w:left="252"/>
              <w:rPr>
                <w:color w:val="FF0000"/>
                <w:sz w:val="20"/>
                <w:szCs w:val="20"/>
              </w:rPr>
            </w:pPr>
          </w:p>
          <w:p>
            <w:pPr>
              <w:autoSpaceDE w:val="0"/>
              <w:autoSpaceDN w:val="0"/>
              <w:adjustRightInd w:val="0"/>
              <w:ind w:left="792"/>
              <w:rPr>
                <w:color w:val="000000"/>
                <w:sz w:val="20"/>
                <w:szCs w:val="20"/>
              </w:rPr>
            </w:pPr>
            <w:r>
              <w:rPr>
                <w:color w:val="000000"/>
                <w:sz w:val="20"/>
                <w:szCs w:val="20"/>
              </w:rPr>
              <w:t>- Aux membres du Service général de l’Inspection</w:t>
            </w:r>
          </w:p>
          <w:p>
            <w:pPr>
              <w:pBdr>
                <w:right w:val="single" w:sz="4" w:space="4" w:color="auto"/>
              </w:pBdr>
              <w:ind w:left="792"/>
              <w:rPr>
                <w:color w:val="FF0000"/>
                <w:sz w:val="20"/>
                <w:szCs w:val="20"/>
              </w:rPr>
            </w:pPr>
            <w:r>
              <w:rPr>
                <w:color w:val="000000"/>
                <w:sz w:val="20"/>
                <w:szCs w:val="20"/>
              </w:rPr>
              <w:t>- Aux Directions d’établissement ayant un Centre de Technologies Avancées labellisé</w:t>
            </w:r>
          </w:p>
          <w:p>
            <w:pPr>
              <w:pBdr>
                <w:right w:val="single" w:sz="4" w:space="4" w:color="auto"/>
              </w:pBdr>
              <w:ind w:left="792"/>
              <w:rPr>
                <w:color w:val="FF0000"/>
                <w:sz w:val="20"/>
                <w:szCs w:val="20"/>
              </w:rPr>
            </w:pPr>
          </w:p>
          <w:p>
            <w:pPr>
              <w:pBdr>
                <w:right w:val="single" w:sz="4" w:space="4" w:color="auto"/>
              </w:pBdr>
              <w:ind w:left="792"/>
              <w:rPr>
                <w:color w:val="000000"/>
                <w:sz w:val="20"/>
                <w:szCs w:val="20"/>
                <w:u w:val="single"/>
              </w:rPr>
            </w:pPr>
            <w:r>
              <w:rPr>
                <w:color w:val="000000"/>
                <w:sz w:val="20"/>
                <w:szCs w:val="20"/>
                <w:u w:val="single"/>
              </w:rPr>
              <w:t>Pour information :</w:t>
            </w:r>
          </w:p>
          <w:p>
            <w:pPr>
              <w:pBdr>
                <w:right w:val="single" w:sz="4" w:space="4" w:color="auto"/>
              </w:pBdr>
              <w:autoSpaceDE w:val="0"/>
              <w:autoSpaceDN w:val="0"/>
              <w:adjustRightInd w:val="0"/>
              <w:ind w:left="792"/>
              <w:rPr>
                <w:color w:val="000000"/>
                <w:sz w:val="20"/>
                <w:szCs w:val="20"/>
              </w:rPr>
            </w:pPr>
            <w:r>
              <w:rPr>
                <w:color w:val="000000"/>
                <w:sz w:val="20"/>
                <w:szCs w:val="20"/>
              </w:rPr>
              <w:t>- Aux Pouvoirs organisateurs des établissements concernés</w:t>
            </w:r>
          </w:p>
        </w:tc>
        <w:tc>
          <w:tcPr>
            <w:tcW w:w="540" w:type="dxa"/>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8"/>
                <w:szCs w:val="18"/>
              </w:rPr>
            </w:pPr>
          </w:p>
        </w:tc>
      </w:tr>
      <w:tr>
        <w:trPr>
          <w:trHeight w:val="9072"/>
        </w:trPr>
        <w:tc>
          <w:tcPr>
            <w:tcW w:w="3708" w:type="dxa"/>
            <w:vMerge/>
            <w:tcBorders>
              <w:bottom w:val="single" w:sz="4" w:space="0" w:color="auto"/>
            </w:tcBorders>
          </w:tcPr>
          <w:p>
            <w:pPr>
              <w:shd w:val="clear" w:color="auto" w:fill="D9D9D9"/>
              <w:ind w:left="284"/>
              <w:rPr>
                <w:b/>
                <w:sz w:val="20"/>
                <w:szCs w:val="20"/>
              </w:rPr>
            </w:pPr>
          </w:p>
        </w:tc>
        <w:tc>
          <w:tcPr>
            <w:tcW w:w="6120" w:type="dxa"/>
            <w:vMerge/>
            <w:tcBorders>
              <w:bottom w:val="single" w:sz="4" w:space="0" w:color="auto"/>
              <w:right w:val="single" w:sz="4" w:space="0" w:color="auto"/>
            </w:tcBorders>
          </w:tcPr>
          <w:p>
            <w:pPr>
              <w:shd w:val="clear" w:color="auto" w:fill="D9D9D9"/>
              <w:ind w:left="284"/>
              <w:rPr>
                <w:b/>
                <w:sz w:val="20"/>
                <w:szCs w:val="20"/>
              </w:rPr>
            </w:pPr>
          </w:p>
        </w:tc>
        <w:tc>
          <w:tcPr>
            <w:tcW w:w="540" w:type="dxa"/>
            <w:vMerge w:val="restart"/>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8"/>
                <w:szCs w:val="18"/>
              </w:rPr>
            </w:pPr>
            <w:r>
              <w:rPr>
                <w:rFonts w:ascii="Verdana" w:hAnsi="Verdana"/>
                <w:noProof/>
                <w:sz w:val="18"/>
                <w:szCs w:val="18"/>
                <w:lang w:eastAsia="fr-BE"/>
              </w:rPr>
              <w:drawing>
                <wp:inline distT="0" distB="0" distL="0" distR="0">
                  <wp:extent cx="308610" cy="526097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8610" cy="5260975"/>
                          </a:xfrm>
                          <a:prstGeom prst="rect">
                            <a:avLst/>
                          </a:prstGeom>
                          <a:noFill/>
                          <a:ln>
                            <a:noFill/>
                          </a:ln>
                        </pic:spPr>
                      </pic:pic>
                    </a:graphicData>
                  </a:graphic>
                </wp:inline>
              </w:drawing>
            </w:r>
          </w:p>
        </w:tc>
      </w:tr>
      <w:tr>
        <w:trPr>
          <w:trHeight w:val="296"/>
        </w:trPr>
        <w:tc>
          <w:tcPr>
            <w:tcW w:w="9828" w:type="dxa"/>
            <w:gridSpan w:val="2"/>
            <w:tcBorders>
              <w:top w:val="single" w:sz="4" w:space="0" w:color="auto"/>
              <w:left w:val="nil"/>
              <w:bottom w:val="single" w:sz="4" w:space="0" w:color="auto"/>
              <w:right w:val="nil"/>
            </w:tcBorders>
            <w:shd w:val="clear" w:color="auto" w:fill="auto"/>
          </w:tcPr>
          <w:p>
            <w:pPr>
              <w:ind w:left="284"/>
              <w:rPr>
                <w:b/>
                <w:sz w:val="20"/>
                <w:szCs w:val="20"/>
              </w:rPr>
            </w:pPr>
          </w:p>
        </w:tc>
        <w:tc>
          <w:tcPr>
            <w:tcW w:w="540" w:type="dxa"/>
            <w:vMerge/>
            <w:tcBorders>
              <w:top w:val="nil"/>
              <w:left w:val="nil"/>
              <w:bottom w:val="nil"/>
              <w:right w:val="nil"/>
            </w:tcBorders>
            <w:shd w:val="clear" w:color="auto" w:fill="auto"/>
          </w:tcPr>
          <w:p>
            <w:pPr>
              <w:tabs>
                <w:tab w:val="left" w:pos="1980"/>
                <w:tab w:val="left" w:pos="4500"/>
                <w:tab w:val="left" w:leader="dot" w:pos="8460"/>
              </w:tabs>
              <w:ind w:left="72"/>
              <w:rPr>
                <w:rFonts w:ascii="Verdana" w:hAnsi="Verdana"/>
                <w:sz w:val="18"/>
                <w:szCs w:val="18"/>
              </w:rPr>
            </w:pPr>
          </w:p>
        </w:tc>
      </w:tr>
      <w:tr>
        <w:trPr>
          <w:trHeight w:val="70"/>
        </w:trPr>
        <w:tc>
          <w:tcPr>
            <w:tcW w:w="9828" w:type="dxa"/>
            <w:gridSpan w:val="2"/>
            <w:tcBorders>
              <w:top w:val="single" w:sz="4" w:space="0" w:color="auto"/>
              <w:bottom w:val="single" w:sz="4" w:space="0" w:color="auto"/>
              <w:right w:val="single" w:sz="4" w:space="0" w:color="auto"/>
            </w:tcBorders>
            <w:shd w:val="clear" w:color="auto" w:fill="auto"/>
          </w:tcPr>
          <w:p>
            <w:pPr>
              <w:shd w:val="clear" w:color="auto" w:fill="D9D9D9"/>
              <w:tabs>
                <w:tab w:val="left" w:pos="252"/>
                <w:tab w:val="left" w:pos="1980"/>
                <w:tab w:val="left" w:pos="4500"/>
                <w:tab w:val="left" w:leader="dot" w:pos="8460"/>
              </w:tabs>
              <w:ind w:right="72"/>
              <w:rPr>
                <w:sz w:val="20"/>
                <w:szCs w:val="20"/>
              </w:rPr>
            </w:pPr>
            <w:r>
              <w:rPr>
                <w:sz w:val="20"/>
                <w:szCs w:val="20"/>
              </w:rPr>
              <w:br w:type="page"/>
            </w:r>
            <w:r>
              <w:rPr>
                <w:b/>
                <w:sz w:val="20"/>
                <w:szCs w:val="20"/>
              </w:rPr>
              <w:t>Signataire</w:t>
            </w:r>
          </w:p>
          <w:tbl>
            <w:tblPr>
              <w:tblW w:w="0" w:type="auto"/>
              <w:tblInd w:w="648" w:type="dxa"/>
              <w:tblLayout w:type="fixed"/>
              <w:tblLook w:val="01E0" w:firstRow="1" w:lastRow="1" w:firstColumn="1" w:lastColumn="1" w:noHBand="0" w:noVBand="0"/>
            </w:tblPr>
            <w:tblGrid>
              <w:gridCol w:w="2073"/>
              <w:gridCol w:w="6819"/>
            </w:tblGrid>
            <w:tr>
              <w:tc>
                <w:tcPr>
                  <w:tcW w:w="2073" w:type="dxa"/>
                </w:tcPr>
                <w:p>
                  <w:pPr>
                    <w:tabs>
                      <w:tab w:val="left" w:pos="4500"/>
                      <w:tab w:val="left" w:leader="dot" w:pos="8460"/>
                    </w:tabs>
                    <w:rPr>
                      <w:sz w:val="20"/>
                      <w:szCs w:val="20"/>
                    </w:rPr>
                  </w:pPr>
                  <w:r>
                    <w:rPr>
                      <w:sz w:val="20"/>
                      <w:szCs w:val="20"/>
                    </w:rPr>
                    <w:t>Ministre / Administration :</w:t>
                  </w:r>
                </w:p>
              </w:tc>
              <w:tc>
                <w:tcPr>
                  <w:tcW w:w="6819" w:type="dxa"/>
                </w:tcPr>
                <w:p>
                  <w:pPr>
                    <w:tabs>
                      <w:tab w:val="left" w:pos="4500"/>
                      <w:tab w:val="left" w:leader="dot" w:pos="8460"/>
                    </w:tabs>
                    <w:rPr>
                      <w:sz w:val="20"/>
                      <w:szCs w:val="20"/>
                    </w:rPr>
                  </w:pPr>
                  <w:r>
                    <w:rPr>
                      <w:sz w:val="20"/>
                      <w:szCs w:val="20"/>
                    </w:rPr>
                    <w:t>Administration générale de l’Enseignement</w:t>
                  </w:r>
                </w:p>
                <w:p>
                  <w:pPr>
                    <w:pStyle w:val="Notedebasdepage"/>
                    <w:jc w:val="both"/>
                    <w:rPr>
                      <w:lang w:val="fr-BE"/>
                    </w:rPr>
                  </w:pPr>
                  <w:r>
                    <w:rPr>
                      <w:lang w:val="fr-BE"/>
                    </w:rPr>
                    <w:t>Direction générale de l’Enseignement obligatoire.</w:t>
                  </w:r>
                </w:p>
                <w:p>
                  <w:pPr>
                    <w:pStyle w:val="Notedebasdepage"/>
                    <w:jc w:val="both"/>
                    <w:rPr>
                      <w:lang w:val="fr-BE"/>
                    </w:rPr>
                  </w:pPr>
                  <w:r>
                    <w:rPr>
                      <w:lang w:val="fr-BE"/>
                    </w:rPr>
                    <w:t>Service général de l’Enseignement secondaire et des Centres PMS.</w:t>
                  </w:r>
                </w:p>
                <w:p>
                  <w:pPr>
                    <w:tabs>
                      <w:tab w:val="left" w:pos="4500"/>
                      <w:tab w:val="left" w:leader="dot" w:pos="8460"/>
                    </w:tabs>
                    <w:rPr>
                      <w:sz w:val="20"/>
                      <w:szCs w:val="20"/>
                    </w:rPr>
                  </w:pPr>
                  <w:r>
                    <w:rPr>
                      <w:sz w:val="20"/>
                      <w:szCs w:val="20"/>
                    </w:rPr>
                    <w:t>Direction « Relations Ecoles – Monde du travail »</w:t>
                  </w:r>
                </w:p>
                <w:p>
                  <w:pPr>
                    <w:tabs>
                      <w:tab w:val="left" w:pos="4500"/>
                      <w:tab w:val="left" w:leader="dot" w:pos="8460"/>
                    </w:tabs>
                    <w:rPr>
                      <w:color w:val="000000"/>
                      <w:sz w:val="20"/>
                      <w:szCs w:val="20"/>
                    </w:rPr>
                  </w:pPr>
                </w:p>
              </w:tc>
            </w:tr>
          </w:tbl>
          <w:p>
            <w:pPr>
              <w:tabs>
                <w:tab w:val="left" w:pos="2700"/>
                <w:tab w:val="left" w:leader="dot" w:pos="9540"/>
              </w:tabs>
              <w:ind w:left="284"/>
              <w:rPr>
                <w:sz w:val="20"/>
                <w:szCs w:val="20"/>
              </w:rPr>
            </w:pPr>
          </w:p>
          <w:p>
            <w:pPr>
              <w:shd w:val="clear" w:color="auto" w:fill="D9D9D9"/>
              <w:ind w:right="72"/>
              <w:rPr>
                <w:sz w:val="20"/>
                <w:szCs w:val="20"/>
              </w:rPr>
            </w:pPr>
            <w:r>
              <w:rPr>
                <w:b/>
                <w:sz w:val="20"/>
                <w:szCs w:val="20"/>
              </w:rPr>
              <w:t>Personnes de contact</w:t>
            </w:r>
          </w:p>
          <w:p>
            <w:pPr>
              <w:tabs>
                <w:tab w:val="left" w:pos="4500"/>
                <w:tab w:val="left" w:leader="dot" w:pos="8460"/>
              </w:tabs>
              <w:ind w:left="540"/>
              <w:rPr>
                <w:color w:val="000000"/>
                <w:sz w:val="20"/>
                <w:szCs w:val="20"/>
              </w:rPr>
            </w:pPr>
            <w:r>
              <w:rPr>
                <w:sz w:val="20"/>
                <w:szCs w:val="20"/>
              </w:rPr>
              <w:t xml:space="preserve">Service  </w:t>
            </w:r>
            <w:r>
              <w:rPr>
                <w:color w:val="000000"/>
                <w:sz w:val="20"/>
                <w:szCs w:val="20"/>
              </w:rPr>
              <w:t xml:space="preserve">ou Association : Service CTA, Cadastre et Fonds d’équipement  </w:t>
            </w:r>
          </w:p>
          <w:tbl>
            <w:tblPr>
              <w:tblW w:w="8905" w:type="dxa"/>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2971"/>
              <w:gridCol w:w="2136"/>
              <w:gridCol w:w="3798"/>
            </w:tblGrid>
            <w:tr>
              <w:tc>
                <w:tcPr>
                  <w:tcW w:w="2971" w:type="dxa"/>
                  <w:shd w:val="clear" w:color="auto" w:fill="E0E0E0"/>
                </w:tcPr>
                <w:p>
                  <w:pPr>
                    <w:tabs>
                      <w:tab w:val="left" w:pos="4500"/>
                      <w:tab w:val="left" w:leader="dot" w:pos="8460"/>
                    </w:tabs>
                    <w:rPr>
                      <w:sz w:val="20"/>
                      <w:szCs w:val="20"/>
                    </w:rPr>
                  </w:pPr>
                  <w:r>
                    <w:rPr>
                      <w:sz w:val="20"/>
                      <w:szCs w:val="20"/>
                    </w:rPr>
                    <w:t>Nom et prénom </w:t>
                  </w:r>
                </w:p>
              </w:tc>
              <w:tc>
                <w:tcPr>
                  <w:tcW w:w="2136" w:type="dxa"/>
                  <w:shd w:val="clear" w:color="auto" w:fill="E0E0E0"/>
                </w:tcPr>
                <w:p>
                  <w:pPr>
                    <w:tabs>
                      <w:tab w:val="left" w:pos="4500"/>
                      <w:tab w:val="left" w:leader="dot" w:pos="8460"/>
                    </w:tabs>
                    <w:rPr>
                      <w:sz w:val="20"/>
                      <w:szCs w:val="20"/>
                    </w:rPr>
                  </w:pPr>
                  <w:r>
                    <w:rPr>
                      <w:sz w:val="20"/>
                      <w:szCs w:val="20"/>
                    </w:rPr>
                    <w:t>Téléphone</w:t>
                  </w:r>
                </w:p>
              </w:tc>
              <w:tc>
                <w:tcPr>
                  <w:tcW w:w="3798" w:type="dxa"/>
                  <w:shd w:val="clear" w:color="auto" w:fill="E0E0E0"/>
                </w:tcPr>
                <w:p>
                  <w:pPr>
                    <w:tabs>
                      <w:tab w:val="left" w:pos="4500"/>
                      <w:tab w:val="left" w:leader="dot" w:pos="8460"/>
                    </w:tabs>
                    <w:rPr>
                      <w:sz w:val="20"/>
                      <w:szCs w:val="20"/>
                    </w:rPr>
                  </w:pPr>
                  <w:r>
                    <w:rPr>
                      <w:sz w:val="20"/>
                      <w:szCs w:val="20"/>
                    </w:rPr>
                    <w:t>Email</w:t>
                  </w:r>
                </w:p>
              </w:tc>
            </w:tr>
            <w:tr>
              <w:tc>
                <w:tcPr>
                  <w:tcW w:w="2971" w:type="dxa"/>
                </w:tcPr>
                <w:p>
                  <w:pPr>
                    <w:tabs>
                      <w:tab w:val="left" w:pos="4500"/>
                      <w:tab w:val="left" w:leader="dot" w:pos="8460"/>
                    </w:tabs>
                    <w:rPr>
                      <w:color w:val="000000"/>
                      <w:sz w:val="20"/>
                      <w:szCs w:val="20"/>
                    </w:rPr>
                  </w:pPr>
                  <w:r>
                    <w:rPr>
                      <w:color w:val="000000"/>
                      <w:sz w:val="20"/>
                      <w:szCs w:val="20"/>
                    </w:rPr>
                    <w:t>Marcelli Florence</w:t>
                  </w:r>
                </w:p>
              </w:tc>
              <w:tc>
                <w:tcPr>
                  <w:tcW w:w="2136" w:type="dxa"/>
                </w:tcPr>
                <w:p>
                  <w:pPr>
                    <w:tabs>
                      <w:tab w:val="left" w:pos="4500"/>
                      <w:tab w:val="left" w:leader="dot" w:pos="8460"/>
                    </w:tabs>
                    <w:rPr>
                      <w:color w:val="000000"/>
                      <w:sz w:val="20"/>
                      <w:szCs w:val="20"/>
                    </w:rPr>
                  </w:pPr>
                  <w:r>
                    <w:rPr>
                      <w:color w:val="000000"/>
                      <w:sz w:val="20"/>
                      <w:szCs w:val="20"/>
                    </w:rPr>
                    <w:t>02 690 86 41</w:t>
                  </w:r>
                </w:p>
              </w:tc>
              <w:tc>
                <w:tcPr>
                  <w:tcW w:w="3798" w:type="dxa"/>
                </w:tcPr>
                <w:p>
                  <w:pPr>
                    <w:tabs>
                      <w:tab w:val="left" w:pos="4500"/>
                      <w:tab w:val="left" w:leader="dot" w:pos="8460"/>
                    </w:tabs>
                    <w:rPr>
                      <w:color w:val="000000"/>
                      <w:sz w:val="20"/>
                      <w:szCs w:val="20"/>
                    </w:rPr>
                  </w:pPr>
                  <w:bookmarkStart w:id="15" w:name="_GoBack"/>
                  <w:r>
                    <w:rPr>
                      <w:color w:val="000000"/>
                      <w:sz w:val="20"/>
                      <w:szCs w:val="20"/>
                    </w:rPr>
                    <w:t>florence.marcelli@cfwb.be</w:t>
                  </w:r>
                  <w:bookmarkEnd w:id="15"/>
                </w:p>
              </w:tc>
            </w:tr>
            <w:tr>
              <w:tc>
                <w:tcPr>
                  <w:tcW w:w="2971" w:type="dxa"/>
                </w:tcPr>
                <w:p>
                  <w:pPr>
                    <w:tabs>
                      <w:tab w:val="left" w:pos="4500"/>
                      <w:tab w:val="left" w:leader="dot" w:pos="8460"/>
                    </w:tabs>
                    <w:rPr>
                      <w:color w:val="000000"/>
                      <w:sz w:val="20"/>
                      <w:szCs w:val="20"/>
                    </w:rPr>
                  </w:pPr>
                  <w:r>
                    <w:rPr>
                      <w:color w:val="000000"/>
                      <w:sz w:val="20"/>
                      <w:szCs w:val="20"/>
                    </w:rPr>
                    <w:t>De Clerfayt Mélanie</w:t>
                  </w:r>
                </w:p>
              </w:tc>
              <w:tc>
                <w:tcPr>
                  <w:tcW w:w="2136" w:type="dxa"/>
                </w:tcPr>
                <w:p>
                  <w:pPr>
                    <w:tabs>
                      <w:tab w:val="left" w:pos="4500"/>
                      <w:tab w:val="left" w:leader="dot" w:pos="8460"/>
                    </w:tabs>
                    <w:rPr>
                      <w:color w:val="000000"/>
                      <w:sz w:val="20"/>
                      <w:szCs w:val="20"/>
                    </w:rPr>
                  </w:pPr>
                  <w:r>
                    <w:rPr>
                      <w:color w:val="000000"/>
                      <w:sz w:val="20"/>
                      <w:szCs w:val="20"/>
                    </w:rPr>
                    <w:t>02 690 88 97</w:t>
                  </w:r>
                </w:p>
              </w:tc>
              <w:tc>
                <w:tcPr>
                  <w:tcW w:w="3798" w:type="dxa"/>
                </w:tcPr>
                <w:p>
                  <w:pPr>
                    <w:tabs>
                      <w:tab w:val="left" w:pos="4500"/>
                      <w:tab w:val="left" w:leader="dot" w:pos="8460"/>
                    </w:tabs>
                    <w:rPr>
                      <w:color w:val="000000"/>
                      <w:sz w:val="20"/>
                      <w:szCs w:val="20"/>
                    </w:rPr>
                  </w:pPr>
                  <w:r>
                    <w:rPr>
                      <w:color w:val="000000"/>
                      <w:sz w:val="20"/>
                      <w:szCs w:val="20"/>
                    </w:rPr>
                    <w:t>melanie.declerfayt@cfwb.be</w:t>
                  </w:r>
                </w:p>
              </w:tc>
            </w:tr>
          </w:tbl>
          <w:p>
            <w:pPr>
              <w:tabs>
                <w:tab w:val="left" w:pos="4500"/>
                <w:tab w:val="left" w:leader="dot" w:pos="8460"/>
              </w:tabs>
              <w:ind w:left="540"/>
              <w:rPr>
                <w:sz w:val="20"/>
                <w:szCs w:val="20"/>
              </w:rPr>
            </w:pPr>
          </w:p>
        </w:tc>
        <w:tc>
          <w:tcPr>
            <w:tcW w:w="540" w:type="dxa"/>
            <w:vMerge/>
            <w:tcBorders>
              <w:top w:val="nil"/>
              <w:left w:val="single" w:sz="4" w:space="0" w:color="auto"/>
              <w:bottom w:val="nil"/>
              <w:right w:val="nil"/>
            </w:tcBorders>
            <w:shd w:val="clear" w:color="auto" w:fill="auto"/>
          </w:tcPr>
          <w:p>
            <w:pPr>
              <w:tabs>
                <w:tab w:val="left" w:pos="1980"/>
                <w:tab w:val="left" w:pos="4500"/>
                <w:tab w:val="left" w:leader="dot" w:pos="8460"/>
              </w:tabs>
              <w:ind w:left="72"/>
              <w:rPr>
                <w:rFonts w:ascii="Verdana" w:hAnsi="Verdana"/>
                <w:sz w:val="18"/>
                <w:szCs w:val="18"/>
              </w:rPr>
            </w:pPr>
          </w:p>
        </w:tc>
      </w:tr>
    </w:tbl>
    <w:p>
      <w:pPr>
        <w:jc w:val="center"/>
        <w:rPr>
          <w:rFonts w:ascii="Verdana" w:hAnsi="Verdana"/>
          <w:b/>
          <w:i/>
          <w:sz w:val="28"/>
          <w:szCs w:val="28"/>
        </w:rPr>
      </w:pPr>
    </w:p>
    <w:p>
      <w:pPr>
        <w:jc w:val="center"/>
        <w:rPr>
          <w:rFonts w:ascii="Verdana" w:hAnsi="Verdana"/>
          <w:b/>
          <w:i/>
          <w:sz w:val="22"/>
          <w:szCs w:val="22"/>
        </w:rPr>
      </w:pPr>
    </w:p>
    <w:p>
      <w:pPr>
        <w:jc w:val="center"/>
        <w:rPr>
          <w:rFonts w:ascii="Verdana" w:hAnsi="Verdana"/>
          <w:b/>
          <w:i/>
          <w:sz w:val="22"/>
          <w:szCs w:val="22"/>
        </w:rPr>
      </w:pPr>
    </w:p>
    <w:p>
      <w:pPr>
        <w:jc w:val="center"/>
        <w:rPr>
          <w:rFonts w:ascii="Verdana" w:hAnsi="Verdana"/>
          <w:b/>
          <w:i/>
          <w:sz w:val="22"/>
          <w:szCs w:val="22"/>
        </w:rPr>
      </w:pPr>
    </w:p>
    <w:p>
      <w:pPr>
        <w:pStyle w:val="En-tte"/>
        <w:tabs>
          <w:tab w:val="clear" w:pos="4536"/>
        </w:tabs>
        <w:spacing w:before="360" w:after="480"/>
        <w:jc w:val="center"/>
        <w:rPr>
          <w:lang w:val="fr-BE"/>
        </w:rPr>
      </w:pPr>
      <w:r>
        <w:rPr>
          <w:noProof/>
          <w:lang w:val="fr-BE" w:eastAsia="fr-BE"/>
        </w:rPr>
        <w:lastRenderedPageBreak/>
        <w:drawing>
          <wp:inline distT="0" distB="0" distL="0" distR="0">
            <wp:extent cx="3027600" cy="720000"/>
            <wp:effectExtent l="19050" t="19050" r="20955" b="2349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_FEDER_FSE+WAL+FWB.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27600" cy="720000"/>
                    </a:xfrm>
                    <a:prstGeom prst="rect">
                      <a:avLst/>
                    </a:prstGeom>
                    <a:ln w="3175">
                      <a:solidFill>
                        <a:schemeClr val="tx1"/>
                      </a:solidFill>
                    </a:ln>
                  </pic:spPr>
                </pic:pic>
              </a:graphicData>
            </a:graphic>
          </wp:inline>
        </w:drawing>
      </w:r>
    </w:p>
    <w:p>
      <w:pPr>
        <w:pStyle w:val="En-tte"/>
        <w:tabs>
          <w:tab w:val="clear" w:pos="4536"/>
        </w:tabs>
        <w:spacing w:before="360" w:after="480"/>
        <w:jc w:val="center"/>
        <w:rPr>
          <w:lang w:val="fr-BE"/>
        </w:rPr>
      </w:pPr>
      <w:r>
        <w:rPr>
          <w:noProof/>
          <w:lang w:val="fr-BE" w:eastAsia="fr-BE"/>
        </w:rPr>
        <w:drawing>
          <wp:inline distT="0" distB="0" distL="0" distR="0">
            <wp:extent cx="5749200" cy="547200"/>
            <wp:effectExtent l="19050" t="19050" r="23495" b="24765"/>
            <wp:docPr id="3" name="Image 3" descr="Banner 30x315_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nner 30x315_20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49200" cy="547200"/>
                    </a:xfrm>
                    <a:prstGeom prst="rect">
                      <a:avLst/>
                    </a:prstGeom>
                    <a:noFill/>
                    <a:ln w="6350" cmpd="sng">
                      <a:solidFill>
                        <a:srgbClr val="000000"/>
                      </a:solidFill>
                      <a:miter lim="800000"/>
                      <a:headEnd/>
                      <a:tailEnd/>
                    </a:ln>
                    <a:effectLst/>
                  </pic:spPr>
                </pic:pic>
              </a:graphicData>
            </a:graphic>
          </wp:inline>
        </w:drawing>
      </w:r>
    </w:p>
    <w:p>
      <w:pPr>
        <w:spacing w:after="120" w:line="360" w:lineRule="auto"/>
        <w:jc w:val="both"/>
        <w:rPr>
          <w:rFonts w:ascii="Calibri" w:hAnsi="Calibri" w:cs="Calibri"/>
          <w:sz w:val="22"/>
          <w:szCs w:val="22"/>
        </w:rPr>
      </w:pPr>
      <w:r>
        <w:rPr>
          <w:rFonts w:ascii="Calibri" w:hAnsi="Calibri" w:cs="Calibri"/>
          <w:sz w:val="22"/>
          <w:szCs w:val="22"/>
        </w:rPr>
        <w:t>Madame, Monsieur,</w:t>
      </w:r>
    </w:p>
    <w:p>
      <w:pPr>
        <w:spacing w:after="240" w:line="360" w:lineRule="auto"/>
        <w:jc w:val="both"/>
        <w:rPr>
          <w:rFonts w:ascii="Calibri" w:hAnsi="Calibri" w:cs="Calibri"/>
          <w:sz w:val="22"/>
          <w:szCs w:val="22"/>
        </w:rPr>
      </w:pPr>
      <w:r>
        <w:rPr>
          <w:rFonts w:ascii="Calibri" w:hAnsi="Calibri" w:cs="Calibri"/>
          <w:sz w:val="22"/>
          <w:szCs w:val="22"/>
        </w:rPr>
        <w:t xml:space="preserve">Initié en 2006 avec la signature des premiers accords de coopération relatifs à l’équipement mis à disposition dans le cadre de la refondation de l’enseignement qualifiant, le déploiement du réseau des Centres de Technologies Avancées (CTA) de la Fédération Wallonie-Bruxelles est à présent terminé. En effet, les 30 centres sont désormais tous complètement équipés et accessibles au public. </w:t>
      </w:r>
    </w:p>
    <w:p>
      <w:pPr>
        <w:spacing w:after="240" w:line="360" w:lineRule="auto"/>
        <w:jc w:val="both"/>
        <w:rPr>
          <w:rFonts w:ascii="Calibri" w:hAnsi="Calibri" w:cs="Calibri"/>
          <w:sz w:val="22"/>
          <w:szCs w:val="22"/>
        </w:rPr>
      </w:pPr>
      <w:r>
        <w:rPr>
          <w:rFonts w:ascii="Calibri" w:hAnsi="Calibri" w:cs="Calibri"/>
          <w:sz w:val="22"/>
          <w:szCs w:val="22"/>
        </w:rPr>
        <w:t>De nouveaux accords de coopération ayant été conclus en 2014 et 2016 entre la Fédération Wallonie-Bruxelles, la Région wallonne, la Région de Bruxelles-Capitale et la Commission communautaire francophone, ceux-ci abrogent les deux précédents accords. Un nouveau décret garantissant l'équipement pédagogique de l'enseignement qualifiant et fixant l'organisation des Centres de Technologies Avancées est également entré en vigueur le 11 avril 2014. Celui-ci remplace le décret du 26 avril 2007 garantissant l'équipement pédagogique de l'enseignement qualifiant.</w:t>
      </w:r>
    </w:p>
    <w:p>
      <w:pPr>
        <w:spacing w:after="240" w:line="360" w:lineRule="auto"/>
        <w:jc w:val="both"/>
        <w:rPr>
          <w:rFonts w:ascii="Calibri" w:hAnsi="Calibri" w:cs="Calibri"/>
          <w:sz w:val="22"/>
          <w:szCs w:val="22"/>
        </w:rPr>
      </w:pPr>
      <w:r>
        <w:rPr>
          <w:rFonts w:ascii="Calibri" w:hAnsi="Calibri" w:cs="Calibri"/>
          <w:sz w:val="22"/>
          <w:szCs w:val="22"/>
        </w:rPr>
        <w:t>La présente circulaire a donc pour objectif de consigner en un seul document toutes les modalités de fonctionnement du dispositif et de préciser les droits et obligations de chacun. Ce texte se veut exhaustif afin de rassembler en un seul document toutes les informations utiles à la bonne gestion d’un CTA. Il remplace la circulaire n°6781 du 23 août 2018.</w:t>
      </w:r>
    </w:p>
    <w:p>
      <w:pPr>
        <w:spacing w:after="240" w:line="360" w:lineRule="auto"/>
        <w:jc w:val="both"/>
        <w:rPr>
          <w:rFonts w:ascii="Calibri" w:hAnsi="Calibri" w:cs="Calibri"/>
          <w:sz w:val="22"/>
          <w:szCs w:val="22"/>
        </w:rPr>
      </w:pPr>
      <w:r>
        <w:rPr>
          <w:rFonts w:ascii="Calibri" w:hAnsi="Calibri" w:cs="Calibri"/>
          <w:sz w:val="22"/>
          <w:szCs w:val="22"/>
        </w:rPr>
        <w:t>Mes services restent bien sûr à votre disposition pour toute question.</w:t>
      </w:r>
    </w:p>
    <w:p>
      <w:pPr>
        <w:spacing w:after="240" w:line="360" w:lineRule="auto"/>
        <w:jc w:val="both"/>
        <w:rPr>
          <w:rFonts w:ascii="Calibri" w:hAnsi="Calibri" w:cs="Calibri"/>
          <w:sz w:val="22"/>
          <w:szCs w:val="22"/>
        </w:rPr>
      </w:pPr>
      <w:r>
        <w:rPr>
          <w:rFonts w:ascii="Calibri" w:hAnsi="Calibri" w:cs="Calibri"/>
          <w:sz w:val="22"/>
          <w:szCs w:val="22"/>
        </w:rPr>
        <w:t>Je vous en souhaite bonne réception.</w:t>
      </w:r>
    </w:p>
    <w:p>
      <w:pPr>
        <w:spacing w:after="120"/>
        <w:ind w:left="5103"/>
        <w:jc w:val="both"/>
        <w:rPr>
          <w:rFonts w:ascii="Calibri" w:hAnsi="Calibri" w:cs="Calibri"/>
          <w:sz w:val="22"/>
          <w:szCs w:val="22"/>
        </w:rPr>
      </w:pPr>
      <w:r>
        <w:rPr>
          <w:rFonts w:ascii="Calibri" w:hAnsi="Calibri" w:cs="Calibri"/>
          <w:sz w:val="22"/>
          <w:szCs w:val="22"/>
        </w:rPr>
        <w:t>La Directrice générale a.i.,</w:t>
      </w:r>
    </w:p>
    <w:p>
      <w:pPr>
        <w:spacing w:after="120"/>
        <w:ind w:left="5103"/>
        <w:jc w:val="both"/>
        <w:rPr>
          <w:rFonts w:ascii="Calibri" w:hAnsi="Calibri" w:cs="Calibri"/>
          <w:sz w:val="22"/>
          <w:szCs w:val="22"/>
        </w:rPr>
      </w:pPr>
    </w:p>
    <w:p>
      <w:pPr>
        <w:spacing w:after="120"/>
        <w:ind w:left="5103"/>
        <w:jc w:val="both"/>
        <w:rPr>
          <w:rFonts w:ascii="Calibri" w:hAnsi="Calibri" w:cs="Calibri"/>
          <w:sz w:val="22"/>
          <w:szCs w:val="22"/>
        </w:rPr>
      </w:pPr>
    </w:p>
    <w:p>
      <w:pPr>
        <w:spacing w:after="120"/>
        <w:ind w:left="4394" w:firstLine="709"/>
        <w:jc w:val="both"/>
        <w:rPr>
          <w:rFonts w:ascii="Calibri" w:hAnsi="Calibri" w:cs="Calibri"/>
          <w:sz w:val="22"/>
          <w:szCs w:val="22"/>
        </w:rPr>
      </w:pPr>
      <w:r>
        <w:rPr>
          <w:rFonts w:ascii="Calibri" w:hAnsi="Calibri" w:cs="Calibri"/>
          <w:sz w:val="22"/>
          <w:szCs w:val="22"/>
        </w:rPr>
        <w:t>Anne Hellemans</w:t>
      </w:r>
    </w:p>
    <w:p>
      <w:pPr>
        <w:pStyle w:val="En-tte"/>
        <w:tabs>
          <w:tab w:val="clear" w:pos="4536"/>
        </w:tabs>
        <w:spacing w:before="360" w:after="480"/>
        <w:rPr>
          <w:lang w:val="fr-BE"/>
        </w:rPr>
      </w:pPr>
    </w:p>
    <w:p>
      <w:pPr>
        <w:spacing w:after="120"/>
        <w:rPr>
          <w:rFonts w:ascii="Calibri" w:hAnsi="Calibri" w:cs="Calibri"/>
          <w:sz w:val="22"/>
          <w:szCs w:val="22"/>
        </w:rPr>
        <w:sectPr>
          <w:headerReference w:type="default" r:id="rId12"/>
          <w:footerReference w:type="even" r:id="rId13"/>
          <w:pgSz w:w="11906" w:h="16838"/>
          <w:pgMar w:top="-211" w:right="1417" w:bottom="426" w:left="1417" w:header="708" w:footer="0" w:gutter="0"/>
          <w:cols w:space="708"/>
          <w:docGrid w:linePitch="360"/>
        </w:sectPr>
      </w:pPr>
    </w:p>
    <w:p>
      <w:pPr>
        <w:tabs>
          <w:tab w:val="right" w:pos="9070"/>
        </w:tabs>
        <w:spacing w:after="240"/>
        <w:jc w:val="both"/>
        <w:rPr>
          <w:rFonts w:asciiTheme="minorHAnsi" w:hAnsiTheme="minorHAnsi" w:cstheme="minorHAnsi"/>
          <w:b/>
          <w:sz w:val="28"/>
          <w:szCs w:val="28"/>
          <w:u w:val="single"/>
        </w:rPr>
      </w:pPr>
      <w:r>
        <w:rPr>
          <w:rFonts w:asciiTheme="minorHAnsi" w:hAnsiTheme="minorHAnsi" w:cstheme="minorHAnsi"/>
          <w:b/>
          <w:sz w:val="28"/>
          <w:szCs w:val="28"/>
          <w:u w:val="single"/>
        </w:rPr>
        <w:lastRenderedPageBreak/>
        <w:t>Table des matières</w:t>
      </w:r>
    </w:p>
    <w:p>
      <w:pPr>
        <w:tabs>
          <w:tab w:val="right" w:leader="dot" w:pos="9070"/>
        </w:tabs>
        <w:spacing w:after="120"/>
        <w:rPr>
          <w:rFonts w:asciiTheme="minorHAnsi" w:hAnsiTheme="minorHAnsi" w:cstheme="minorHAnsi"/>
          <w:b/>
        </w:rPr>
      </w:pPr>
      <w:r>
        <w:rPr>
          <w:rFonts w:asciiTheme="minorHAnsi" w:hAnsiTheme="minorHAnsi" w:cstheme="minorHAnsi"/>
          <w:b/>
        </w:rPr>
        <w:t xml:space="preserve">1. Définition </w:t>
      </w:r>
      <w:r>
        <w:rPr>
          <w:rFonts w:asciiTheme="minorHAnsi" w:hAnsiTheme="minorHAnsi" w:cstheme="minorHAnsi"/>
          <w:sz w:val="12"/>
          <w:szCs w:val="12"/>
        </w:rPr>
        <w:tab/>
      </w:r>
      <w:r>
        <w:rPr>
          <w:rFonts w:asciiTheme="minorHAnsi" w:hAnsiTheme="minorHAnsi" w:cstheme="minorHAnsi"/>
          <w:b/>
        </w:rPr>
        <w:t xml:space="preserve"> 7</w:t>
      </w:r>
    </w:p>
    <w:p>
      <w:pPr>
        <w:tabs>
          <w:tab w:val="right" w:leader="dot" w:pos="9070"/>
        </w:tabs>
        <w:spacing w:after="120"/>
        <w:rPr>
          <w:rFonts w:asciiTheme="minorHAnsi" w:hAnsiTheme="minorHAnsi" w:cstheme="minorHAnsi"/>
          <w:b/>
        </w:rPr>
      </w:pPr>
      <w:r>
        <w:rPr>
          <w:rFonts w:asciiTheme="minorHAnsi" w:hAnsiTheme="minorHAnsi" w:cstheme="minorHAnsi"/>
          <w:b/>
        </w:rPr>
        <w:t>2. Label CTA</w:t>
      </w:r>
      <w:r>
        <w:rPr>
          <w:rFonts w:asciiTheme="minorHAnsi" w:hAnsiTheme="minorHAnsi" w:cstheme="minorHAnsi"/>
          <w:sz w:val="12"/>
          <w:szCs w:val="12"/>
        </w:rPr>
        <w:tab/>
      </w:r>
      <w:r>
        <w:rPr>
          <w:rFonts w:asciiTheme="minorHAnsi" w:hAnsiTheme="minorHAnsi" w:cstheme="minorHAnsi"/>
          <w:b/>
        </w:rPr>
        <w:t xml:space="preserve"> 8</w:t>
      </w:r>
    </w:p>
    <w:p>
      <w:pPr>
        <w:tabs>
          <w:tab w:val="right" w:leader="dot" w:pos="9070"/>
        </w:tabs>
        <w:spacing w:after="120"/>
        <w:rPr>
          <w:rFonts w:asciiTheme="minorHAnsi" w:hAnsiTheme="minorHAnsi" w:cstheme="minorHAnsi"/>
          <w:b/>
        </w:rPr>
      </w:pPr>
      <w:r>
        <w:rPr>
          <w:rFonts w:asciiTheme="minorHAnsi" w:hAnsiTheme="minorHAnsi" w:cstheme="minorHAnsi"/>
          <w:b/>
        </w:rPr>
        <w:t xml:space="preserve">3. Missions </w:t>
      </w:r>
      <w:r>
        <w:rPr>
          <w:rFonts w:asciiTheme="minorHAnsi" w:hAnsiTheme="minorHAnsi" w:cstheme="minorHAnsi"/>
          <w:sz w:val="12"/>
          <w:szCs w:val="12"/>
        </w:rPr>
        <w:tab/>
      </w:r>
      <w:r>
        <w:rPr>
          <w:rFonts w:asciiTheme="minorHAnsi" w:hAnsiTheme="minorHAnsi" w:cstheme="minorHAnsi"/>
          <w:b/>
        </w:rPr>
        <w:t xml:space="preserve"> 9</w:t>
      </w:r>
    </w:p>
    <w:p>
      <w:pPr>
        <w:tabs>
          <w:tab w:val="right" w:leader="dot" w:pos="9070"/>
        </w:tabs>
        <w:spacing w:after="120"/>
        <w:rPr>
          <w:rFonts w:asciiTheme="minorHAnsi" w:hAnsiTheme="minorHAnsi" w:cstheme="minorHAnsi"/>
          <w:b/>
        </w:rPr>
      </w:pPr>
      <w:r>
        <w:rPr>
          <w:rFonts w:asciiTheme="minorHAnsi" w:hAnsiTheme="minorHAnsi" w:cstheme="minorHAnsi"/>
          <w:b/>
        </w:rPr>
        <w:t xml:space="preserve">4. Publics-cibles </w:t>
      </w:r>
      <w:r>
        <w:rPr>
          <w:rFonts w:asciiTheme="minorHAnsi" w:hAnsiTheme="minorHAnsi" w:cstheme="minorHAnsi"/>
          <w:sz w:val="12"/>
          <w:szCs w:val="12"/>
        </w:rPr>
        <w:tab/>
      </w:r>
      <w:r>
        <w:rPr>
          <w:rFonts w:asciiTheme="minorHAnsi" w:hAnsiTheme="minorHAnsi" w:cstheme="minorHAnsi"/>
          <w:b/>
        </w:rPr>
        <w:t xml:space="preserve"> 9</w:t>
      </w:r>
    </w:p>
    <w:p>
      <w:pPr>
        <w:tabs>
          <w:tab w:val="right" w:leader="dot" w:pos="9070"/>
        </w:tabs>
        <w:spacing w:after="120"/>
        <w:rPr>
          <w:rFonts w:asciiTheme="minorHAnsi" w:hAnsiTheme="minorHAnsi" w:cstheme="minorHAnsi"/>
          <w:b/>
        </w:rPr>
      </w:pPr>
      <w:r>
        <w:rPr>
          <w:rFonts w:asciiTheme="minorHAnsi" w:hAnsiTheme="minorHAnsi" w:cstheme="minorHAnsi"/>
          <w:b/>
        </w:rPr>
        <w:t xml:space="preserve">5. Fonctionnement des CTA </w:t>
      </w:r>
      <w:r>
        <w:rPr>
          <w:rFonts w:asciiTheme="minorHAnsi" w:hAnsiTheme="minorHAnsi" w:cstheme="minorHAnsi"/>
          <w:sz w:val="12"/>
          <w:szCs w:val="12"/>
        </w:rPr>
        <w:tab/>
      </w:r>
      <w:r>
        <w:rPr>
          <w:rFonts w:asciiTheme="minorHAnsi" w:hAnsiTheme="minorHAnsi" w:cstheme="minorHAnsi"/>
          <w:b/>
        </w:rPr>
        <w:t xml:space="preserve"> 10</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5.1. Direction et gestion quotidienne du centre </w:t>
      </w:r>
      <w:r>
        <w:rPr>
          <w:rFonts w:asciiTheme="minorHAnsi" w:hAnsiTheme="minorHAnsi" w:cstheme="minorHAnsi"/>
          <w:sz w:val="12"/>
          <w:szCs w:val="12"/>
        </w:rPr>
        <w:tab/>
      </w:r>
      <w:r>
        <w:rPr>
          <w:rFonts w:asciiTheme="minorHAnsi" w:hAnsiTheme="minorHAnsi" w:cstheme="minorHAnsi"/>
          <w:sz w:val="20"/>
          <w:szCs w:val="20"/>
        </w:rPr>
        <w:t xml:space="preserve"> 10</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5.1.1. Direction du CTA </w:t>
      </w:r>
      <w:r>
        <w:rPr>
          <w:rFonts w:asciiTheme="minorHAnsi" w:hAnsiTheme="minorHAnsi" w:cstheme="minorHAnsi"/>
          <w:sz w:val="12"/>
          <w:szCs w:val="12"/>
        </w:rPr>
        <w:tab/>
      </w:r>
      <w:r>
        <w:rPr>
          <w:rFonts w:asciiTheme="minorHAnsi" w:hAnsiTheme="minorHAnsi" w:cstheme="minorHAnsi"/>
          <w:sz w:val="20"/>
          <w:szCs w:val="20"/>
        </w:rPr>
        <w:t xml:space="preserve"> 10</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5.1.2. Equipe gestionnaire du CTA </w:t>
      </w:r>
      <w:r>
        <w:rPr>
          <w:rFonts w:asciiTheme="minorHAnsi" w:hAnsiTheme="minorHAnsi" w:cstheme="minorHAnsi"/>
          <w:sz w:val="12"/>
          <w:szCs w:val="12"/>
        </w:rPr>
        <w:tab/>
      </w:r>
      <w:r>
        <w:rPr>
          <w:rFonts w:asciiTheme="minorHAnsi" w:hAnsiTheme="minorHAnsi" w:cstheme="minorHAnsi"/>
          <w:sz w:val="20"/>
          <w:szCs w:val="20"/>
        </w:rPr>
        <w:t xml:space="preserve"> 10</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5.1.2.1. Missions du Coordonnateur CTA </w:t>
      </w:r>
      <w:r>
        <w:rPr>
          <w:rFonts w:asciiTheme="minorHAnsi" w:hAnsiTheme="minorHAnsi" w:cstheme="minorHAnsi"/>
          <w:i/>
          <w:sz w:val="12"/>
          <w:szCs w:val="12"/>
        </w:rPr>
        <w:tab/>
      </w:r>
      <w:r>
        <w:rPr>
          <w:rFonts w:asciiTheme="minorHAnsi" w:hAnsiTheme="minorHAnsi" w:cstheme="minorHAnsi"/>
          <w:sz w:val="20"/>
          <w:szCs w:val="20"/>
        </w:rPr>
        <w:t xml:space="preserve"> 10</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5.1.2.1. Missions du Formateur CTA </w:t>
      </w:r>
      <w:r>
        <w:rPr>
          <w:rFonts w:asciiTheme="minorHAnsi" w:hAnsiTheme="minorHAnsi" w:cstheme="minorHAnsi"/>
          <w:i/>
          <w:sz w:val="12"/>
          <w:szCs w:val="12"/>
        </w:rPr>
        <w:tab/>
      </w:r>
      <w:r>
        <w:rPr>
          <w:rFonts w:asciiTheme="minorHAnsi" w:hAnsiTheme="minorHAnsi" w:cstheme="minorHAnsi"/>
          <w:sz w:val="20"/>
          <w:szCs w:val="20"/>
        </w:rPr>
        <w:t xml:space="preserve"> 11</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5.2 Comité d’accompagnement </w:t>
      </w:r>
      <w:r>
        <w:rPr>
          <w:rFonts w:asciiTheme="minorHAnsi" w:hAnsiTheme="minorHAnsi" w:cstheme="minorHAnsi"/>
          <w:sz w:val="12"/>
          <w:szCs w:val="12"/>
        </w:rPr>
        <w:tab/>
      </w:r>
      <w:r>
        <w:rPr>
          <w:rFonts w:asciiTheme="minorHAnsi" w:hAnsiTheme="minorHAnsi" w:cstheme="minorHAnsi"/>
          <w:sz w:val="20"/>
          <w:szCs w:val="20"/>
        </w:rPr>
        <w:t xml:space="preserve"> 12</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5.2.1. Présidence </w:t>
      </w:r>
      <w:r>
        <w:rPr>
          <w:rFonts w:asciiTheme="minorHAnsi" w:hAnsiTheme="minorHAnsi" w:cstheme="minorHAnsi"/>
          <w:sz w:val="12"/>
          <w:szCs w:val="12"/>
        </w:rPr>
        <w:tab/>
      </w:r>
      <w:r>
        <w:rPr>
          <w:rFonts w:asciiTheme="minorHAnsi" w:hAnsiTheme="minorHAnsi" w:cstheme="minorHAnsi"/>
          <w:sz w:val="20"/>
          <w:szCs w:val="20"/>
        </w:rPr>
        <w:t xml:space="preserve"> 12</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5.2.2. Composition </w:t>
      </w:r>
      <w:r>
        <w:rPr>
          <w:rFonts w:asciiTheme="minorHAnsi" w:hAnsiTheme="minorHAnsi" w:cstheme="minorHAnsi"/>
          <w:sz w:val="12"/>
          <w:szCs w:val="12"/>
        </w:rPr>
        <w:tab/>
      </w:r>
      <w:r>
        <w:rPr>
          <w:rFonts w:asciiTheme="minorHAnsi" w:hAnsiTheme="minorHAnsi" w:cstheme="minorHAnsi"/>
          <w:sz w:val="20"/>
          <w:szCs w:val="20"/>
        </w:rPr>
        <w:t xml:space="preserve"> 12</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5.2.3. Missions </w:t>
      </w:r>
      <w:r>
        <w:rPr>
          <w:rFonts w:asciiTheme="minorHAnsi" w:hAnsiTheme="minorHAnsi" w:cstheme="minorHAnsi"/>
          <w:sz w:val="12"/>
          <w:szCs w:val="12"/>
        </w:rPr>
        <w:tab/>
      </w:r>
      <w:r>
        <w:rPr>
          <w:rFonts w:asciiTheme="minorHAnsi" w:hAnsiTheme="minorHAnsi" w:cstheme="minorHAnsi"/>
          <w:sz w:val="20"/>
          <w:szCs w:val="20"/>
        </w:rPr>
        <w:t xml:space="preserve"> 12</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5.2.4. Règlement d’ordre intérieur </w:t>
      </w:r>
      <w:r>
        <w:rPr>
          <w:rFonts w:asciiTheme="minorHAnsi" w:hAnsiTheme="minorHAnsi" w:cstheme="minorHAnsi"/>
          <w:sz w:val="12"/>
          <w:szCs w:val="12"/>
        </w:rPr>
        <w:tab/>
      </w:r>
      <w:r>
        <w:rPr>
          <w:rFonts w:asciiTheme="minorHAnsi" w:hAnsiTheme="minorHAnsi" w:cstheme="minorHAnsi"/>
          <w:sz w:val="20"/>
          <w:szCs w:val="20"/>
        </w:rPr>
        <w:t xml:space="preserve"> 12</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5.2.5. Modalités de fonctionnement du Comité d’accompagnement </w:t>
      </w:r>
      <w:r>
        <w:rPr>
          <w:rFonts w:asciiTheme="minorHAnsi" w:hAnsiTheme="minorHAnsi" w:cstheme="minorHAnsi"/>
          <w:sz w:val="12"/>
          <w:szCs w:val="12"/>
        </w:rPr>
        <w:tab/>
      </w:r>
      <w:r>
        <w:rPr>
          <w:rFonts w:asciiTheme="minorHAnsi" w:hAnsiTheme="minorHAnsi" w:cstheme="minorHAnsi"/>
          <w:sz w:val="20"/>
          <w:szCs w:val="20"/>
        </w:rPr>
        <w:t xml:space="preserve"> 13</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5.3. Règlement d’ordre intérieur du CTA </w:t>
      </w:r>
      <w:r>
        <w:rPr>
          <w:rFonts w:asciiTheme="minorHAnsi" w:hAnsiTheme="minorHAnsi" w:cstheme="minorHAnsi"/>
          <w:sz w:val="12"/>
          <w:szCs w:val="12"/>
        </w:rPr>
        <w:tab/>
      </w:r>
      <w:r>
        <w:rPr>
          <w:rFonts w:asciiTheme="minorHAnsi" w:hAnsiTheme="minorHAnsi" w:cstheme="minorHAnsi"/>
          <w:sz w:val="20"/>
          <w:szCs w:val="20"/>
        </w:rPr>
        <w:t xml:space="preserve"> 13</w:t>
      </w:r>
    </w:p>
    <w:p>
      <w:pPr>
        <w:tabs>
          <w:tab w:val="right" w:leader="dot" w:pos="9070"/>
        </w:tabs>
        <w:spacing w:after="120"/>
        <w:rPr>
          <w:rFonts w:asciiTheme="minorHAnsi" w:hAnsiTheme="minorHAnsi" w:cstheme="minorHAnsi"/>
          <w:b/>
        </w:rPr>
      </w:pPr>
      <w:r>
        <w:rPr>
          <w:rFonts w:asciiTheme="minorHAnsi" w:hAnsiTheme="minorHAnsi" w:cstheme="minorHAnsi"/>
          <w:b/>
        </w:rPr>
        <w:t xml:space="preserve">6. Organisation des formations </w:t>
      </w:r>
      <w:r>
        <w:rPr>
          <w:rFonts w:asciiTheme="minorHAnsi" w:hAnsiTheme="minorHAnsi" w:cstheme="minorHAnsi"/>
          <w:sz w:val="12"/>
          <w:szCs w:val="12"/>
        </w:rPr>
        <w:tab/>
      </w:r>
      <w:r>
        <w:rPr>
          <w:rFonts w:asciiTheme="minorHAnsi" w:hAnsiTheme="minorHAnsi" w:cstheme="minorHAnsi"/>
          <w:b/>
        </w:rPr>
        <w:t xml:space="preserve"> 13</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6.1. Programme de formation </w:t>
      </w:r>
      <w:r>
        <w:rPr>
          <w:rFonts w:asciiTheme="minorHAnsi" w:hAnsiTheme="minorHAnsi" w:cstheme="minorHAnsi"/>
          <w:sz w:val="12"/>
          <w:szCs w:val="12"/>
        </w:rPr>
        <w:tab/>
      </w:r>
      <w:r>
        <w:rPr>
          <w:rFonts w:asciiTheme="minorHAnsi" w:hAnsiTheme="minorHAnsi" w:cstheme="minorHAnsi"/>
          <w:sz w:val="20"/>
          <w:szCs w:val="20"/>
        </w:rPr>
        <w:t xml:space="preserve"> 13</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6.2. Promotion des formations </w:t>
      </w:r>
      <w:r>
        <w:rPr>
          <w:rFonts w:asciiTheme="minorHAnsi" w:hAnsiTheme="minorHAnsi" w:cstheme="minorHAnsi"/>
          <w:sz w:val="12"/>
          <w:szCs w:val="12"/>
        </w:rPr>
        <w:tab/>
      </w:r>
      <w:r>
        <w:rPr>
          <w:rFonts w:asciiTheme="minorHAnsi" w:hAnsiTheme="minorHAnsi" w:cstheme="minorHAnsi"/>
          <w:sz w:val="20"/>
          <w:szCs w:val="20"/>
        </w:rPr>
        <w:t xml:space="preserve"> 13</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6.3. Durée des formations </w:t>
      </w:r>
      <w:r>
        <w:rPr>
          <w:rFonts w:asciiTheme="minorHAnsi" w:hAnsiTheme="minorHAnsi" w:cstheme="minorHAnsi"/>
          <w:sz w:val="12"/>
          <w:szCs w:val="12"/>
        </w:rPr>
        <w:tab/>
      </w:r>
      <w:r>
        <w:rPr>
          <w:rFonts w:asciiTheme="minorHAnsi" w:hAnsiTheme="minorHAnsi" w:cstheme="minorHAnsi"/>
          <w:sz w:val="20"/>
          <w:szCs w:val="20"/>
        </w:rPr>
        <w:t xml:space="preserve"> 14</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6.4. Accueil des apprenants </w:t>
      </w:r>
      <w:r>
        <w:rPr>
          <w:rFonts w:asciiTheme="minorHAnsi" w:hAnsiTheme="minorHAnsi" w:cstheme="minorHAnsi"/>
          <w:sz w:val="12"/>
          <w:szCs w:val="12"/>
        </w:rPr>
        <w:tab/>
      </w:r>
      <w:r>
        <w:rPr>
          <w:rFonts w:asciiTheme="minorHAnsi" w:hAnsiTheme="minorHAnsi" w:cstheme="minorHAnsi"/>
          <w:sz w:val="20"/>
          <w:szCs w:val="20"/>
        </w:rPr>
        <w:t xml:space="preserve"> 14</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6.4.1. Encadrement pédagogique </w:t>
      </w:r>
      <w:r>
        <w:rPr>
          <w:rFonts w:asciiTheme="minorHAnsi" w:hAnsiTheme="minorHAnsi" w:cstheme="minorHAnsi"/>
          <w:sz w:val="12"/>
          <w:szCs w:val="12"/>
        </w:rPr>
        <w:tab/>
      </w:r>
      <w:r>
        <w:rPr>
          <w:rFonts w:asciiTheme="minorHAnsi" w:hAnsiTheme="minorHAnsi" w:cstheme="minorHAnsi"/>
          <w:sz w:val="20"/>
          <w:szCs w:val="20"/>
        </w:rPr>
        <w:t xml:space="preserve"> 14</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6.4.2. Conventions </w:t>
      </w:r>
      <w:r>
        <w:rPr>
          <w:rFonts w:asciiTheme="minorHAnsi" w:hAnsiTheme="minorHAnsi" w:cstheme="minorHAnsi"/>
          <w:sz w:val="12"/>
          <w:szCs w:val="12"/>
        </w:rPr>
        <w:tab/>
      </w:r>
      <w:r>
        <w:rPr>
          <w:rFonts w:asciiTheme="minorHAnsi" w:hAnsiTheme="minorHAnsi" w:cstheme="minorHAnsi"/>
          <w:sz w:val="20"/>
          <w:szCs w:val="20"/>
        </w:rPr>
        <w:t xml:space="preserve"> 14</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6.4.2.1. Convention bilatérale générale </w:t>
      </w:r>
      <w:r>
        <w:rPr>
          <w:rFonts w:asciiTheme="minorHAnsi" w:hAnsiTheme="minorHAnsi" w:cstheme="minorHAnsi"/>
          <w:sz w:val="12"/>
          <w:szCs w:val="12"/>
        </w:rPr>
        <w:tab/>
      </w:r>
      <w:r>
        <w:rPr>
          <w:rFonts w:asciiTheme="minorHAnsi" w:hAnsiTheme="minorHAnsi" w:cstheme="minorHAnsi"/>
          <w:sz w:val="20"/>
          <w:szCs w:val="20"/>
        </w:rPr>
        <w:t xml:space="preserve"> 14</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6.4.2.2. Convention spécifique </w:t>
      </w:r>
      <w:r>
        <w:rPr>
          <w:rFonts w:asciiTheme="minorHAnsi" w:hAnsiTheme="minorHAnsi" w:cstheme="minorHAnsi"/>
          <w:sz w:val="12"/>
          <w:szCs w:val="12"/>
        </w:rPr>
        <w:tab/>
      </w:r>
      <w:r>
        <w:rPr>
          <w:rFonts w:asciiTheme="minorHAnsi" w:hAnsiTheme="minorHAnsi" w:cstheme="minorHAnsi"/>
          <w:sz w:val="20"/>
          <w:szCs w:val="20"/>
        </w:rPr>
        <w:t xml:space="preserve"> 15</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6.5. Coûts des formations </w:t>
      </w:r>
      <w:r>
        <w:rPr>
          <w:rFonts w:asciiTheme="minorHAnsi" w:hAnsiTheme="minorHAnsi" w:cstheme="minorHAnsi"/>
          <w:sz w:val="12"/>
          <w:szCs w:val="12"/>
        </w:rPr>
        <w:tab/>
      </w:r>
      <w:r>
        <w:rPr>
          <w:rFonts w:asciiTheme="minorHAnsi" w:hAnsiTheme="minorHAnsi" w:cstheme="minorHAnsi"/>
          <w:sz w:val="20"/>
          <w:szCs w:val="20"/>
        </w:rPr>
        <w:t xml:space="preserve"> 16</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6.6. Facturation des formations </w:t>
      </w:r>
      <w:r>
        <w:rPr>
          <w:rFonts w:asciiTheme="minorHAnsi" w:hAnsiTheme="minorHAnsi" w:cstheme="minorHAnsi"/>
          <w:sz w:val="12"/>
          <w:szCs w:val="12"/>
        </w:rPr>
        <w:tab/>
      </w:r>
      <w:r>
        <w:rPr>
          <w:rFonts w:asciiTheme="minorHAnsi" w:hAnsiTheme="minorHAnsi" w:cstheme="minorHAnsi"/>
          <w:sz w:val="20"/>
          <w:szCs w:val="20"/>
        </w:rPr>
        <w:t xml:space="preserve"> 16</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6.7. Encodage des formations </w:t>
      </w:r>
      <w:r>
        <w:rPr>
          <w:rFonts w:asciiTheme="minorHAnsi" w:hAnsiTheme="minorHAnsi" w:cstheme="minorHAnsi"/>
          <w:sz w:val="12"/>
          <w:szCs w:val="12"/>
        </w:rPr>
        <w:tab/>
      </w:r>
      <w:r>
        <w:rPr>
          <w:rFonts w:asciiTheme="minorHAnsi" w:hAnsiTheme="minorHAnsi" w:cstheme="minorHAnsi"/>
          <w:sz w:val="20"/>
          <w:szCs w:val="20"/>
        </w:rPr>
        <w:t xml:space="preserve"> 16</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6.8. Ventilation des formations selon les types de publics </w:t>
      </w:r>
      <w:r>
        <w:rPr>
          <w:rFonts w:asciiTheme="minorHAnsi" w:hAnsiTheme="minorHAnsi" w:cstheme="minorHAnsi"/>
          <w:sz w:val="12"/>
          <w:szCs w:val="12"/>
        </w:rPr>
        <w:tab/>
      </w:r>
      <w:r>
        <w:rPr>
          <w:rFonts w:asciiTheme="minorHAnsi" w:hAnsiTheme="minorHAnsi" w:cstheme="minorHAnsi"/>
          <w:sz w:val="20"/>
          <w:szCs w:val="20"/>
        </w:rPr>
        <w:t xml:space="preserve"> 17</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6.9. Remboursement des frais de déplacement et d’hébergement </w:t>
      </w:r>
      <w:r>
        <w:rPr>
          <w:rFonts w:asciiTheme="minorHAnsi" w:hAnsiTheme="minorHAnsi" w:cstheme="minorHAnsi"/>
          <w:sz w:val="12"/>
          <w:szCs w:val="12"/>
        </w:rPr>
        <w:tab/>
      </w:r>
      <w:r>
        <w:rPr>
          <w:rFonts w:asciiTheme="minorHAnsi" w:hAnsiTheme="minorHAnsi" w:cstheme="minorHAnsi"/>
          <w:sz w:val="20"/>
          <w:szCs w:val="20"/>
        </w:rPr>
        <w:t xml:space="preserve"> 18</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6.9.1. Publics éligibles </w:t>
      </w:r>
      <w:r>
        <w:rPr>
          <w:rFonts w:asciiTheme="minorHAnsi" w:hAnsiTheme="minorHAnsi" w:cstheme="minorHAnsi"/>
          <w:sz w:val="12"/>
          <w:szCs w:val="12"/>
        </w:rPr>
        <w:tab/>
      </w:r>
      <w:r>
        <w:rPr>
          <w:rFonts w:asciiTheme="minorHAnsi" w:hAnsiTheme="minorHAnsi" w:cstheme="minorHAnsi"/>
          <w:sz w:val="20"/>
          <w:szCs w:val="20"/>
        </w:rPr>
        <w:t xml:space="preserve"> 18</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6.9.2. Critères de remboursement </w:t>
      </w:r>
      <w:r>
        <w:rPr>
          <w:rFonts w:asciiTheme="minorHAnsi" w:hAnsiTheme="minorHAnsi" w:cstheme="minorHAnsi"/>
          <w:sz w:val="12"/>
          <w:szCs w:val="12"/>
        </w:rPr>
        <w:tab/>
      </w:r>
      <w:r>
        <w:rPr>
          <w:rFonts w:asciiTheme="minorHAnsi" w:hAnsiTheme="minorHAnsi" w:cstheme="minorHAnsi"/>
          <w:sz w:val="20"/>
          <w:szCs w:val="20"/>
        </w:rPr>
        <w:t xml:space="preserve"> 18</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6.9.2.1. Coûts liés aux frais de déplacement </w:t>
      </w:r>
      <w:r>
        <w:rPr>
          <w:rFonts w:asciiTheme="minorHAnsi" w:hAnsiTheme="minorHAnsi" w:cstheme="minorHAnsi"/>
          <w:sz w:val="12"/>
          <w:szCs w:val="12"/>
        </w:rPr>
        <w:tab/>
      </w:r>
      <w:r>
        <w:rPr>
          <w:rFonts w:asciiTheme="minorHAnsi" w:hAnsiTheme="minorHAnsi" w:cstheme="minorHAnsi"/>
          <w:sz w:val="20"/>
          <w:szCs w:val="20"/>
        </w:rPr>
        <w:t xml:space="preserve"> 18</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6.9.2.2. Coûts liés aux frais d’hébergement </w:t>
      </w:r>
      <w:r>
        <w:rPr>
          <w:rFonts w:asciiTheme="minorHAnsi" w:hAnsiTheme="minorHAnsi" w:cstheme="minorHAnsi"/>
          <w:sz w:val="12"/>
          <w:szCs w:val="12"/>
        </w:rPr>
        <w:tab/>
      </w:r>
      <w:r>
        <w:rPr>
          <w:rFonts w:asciiTheme="minorHAnsi" w:hAnsiTheme="minorHAnsi" w:cstheme="minorHAnsi"/>
          <w:sz w:val="20"/>
          <w:szCs w:val="20"/>
        </w:rPr>
        <w:t xml:space="preserve"> 19</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6.9.2.3. Précisions </w:t>
      </w:r>
      <w:r>
        <w:rPr>
          <w:rFonts w:asciiTheme="minorHAnsi" w:hAnsiTheme="minorHAnsi" w:cstheme="minorHAnsi"/>
          <w:sz w:val="12"/>
          <w:szCs w:val="12"/>
        </w:rPr>
        <w:tab/>
      </w:r>
      <w:r>
        <w:rPr>
          <w:rFonts w:asciiTheme="minorHAnsi" w:hAnsiTheme="minorHAnsi" w:cstheme="minorHAnsi"/>
          <w:sz w:val="20"/>
          <w:szCs w:val="20"/>
        </w:rPr>
        <w:t xml:space="preserve"> 19</w:t>
      </w:r>
      <w:r>
        <w:rPr>
          <w:rFonts w:asciiTheme="minorHAnsi" w:hAnsiTheme="minorHAnsi" w:cstheme="minorHAnsi"/>
          <w:sz w:val="20"/>
          <w:szCs w:val="20"/>
        </w:rPr>
        <w:br w:type="page"/>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lastRenderedPageBreak/>
        <w:t xml:space="preserve">6.9.3. Procédure de remboursement </w:t>
      </w:r>
      <w:r>
        <w:rPr>
          <w:rFonts w:asciiTheme="minorHAnsi" w:hAnsiTheme="minorHAnsi" w:cstheme="minorHAnsi"/>
          <w:sz w:val="12"/>
          <w:szCs w:val="12"/>
        </w:rPr>
        <w:tab/>
      </w:r>
      <w:r>
        <w:rPr>
          <w:rFonts w:asciiTheme="minorHAnsi" w:hAnsiTheme="minorHAnsi" w:cstheme="minorHAnsi"/>
          <w:sz w:val="20"/>
          <w:szCs w:val="20"/>
        </w:rPr>
        <w:t xml:space="preserve"> 19</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6.9.3.1. Composition d’un dossier de demande de remboursement </w:t>
      </w:r>
      <w:r>
        <w:rPr>
          <w:rFonts w:asciiTheme="minorHAnsi" w:hAnsiTheme="minorHAnsi" w:cstheme="minorHAnsi"/>
          <w:sz w:val="12"/>
          <w:szCs w:val="12"/>
        </w:rPr>
        <w:tab/>
      </w:r>
      <w:r>
        <w:rPr>
          <w:rFonts w:asciiTheme="minorHAnsi" w:hAnsiTheme="minorHAnsi" w:cstheme="minorHAnsi"/>
          <w:sz w:val="20"/>
          <w:szCs w:val="20"/>
        </w:rPr>
        <w:t xml:space="preserve"> 19</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6.9.3.2. Informations devant obligatoirement se trouver sur les documents de demande de remboursement </w:t>
      </w:r>
      <w:r>
        <w:rPr>
          <w:rFonts w:asciiTheme="minorHAnsi" w:hAnsiTheme="minorHAnsi" w:cstheme="minorHAnsi"/>
          <w:sz w:val="12"/>
          <w:szCs w:val="12"/>
        </w:rPr>
        <w:tab/>
      </w:r>
      <w:r>
        <w:rPr>
          <w:rFonts w:asciiTheme="minorHAnsi" w:hAnsiTheme="minorHAnsi" w:cstheme="minorHAnsi"/>
          <w:sz w:val="20"/>
          <w:szCs w:val="20"/>
        </w:rPr>
        <w:t xml:space="preserve"> 21</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6.9.3.3. Introduction des demandes </w:t>
      </w:r>
      <w:r>
        <w:rPr>
          <w:rFonts w:asciiTheme="minorHAnsi" w:hAnsiTheme="minorHAnsi" w:cstheme="minorHAnsi"/>
          <w:sz w:val="12"/>
          <w:szCs w:val="12"/>
        </w:rPr>
        <w:tab/>
      </w:r>
      <w:r>
        <w:rPr>
          <w:rFonts w:asciiTheme="minorHAnsi" w:hAnsiTheme="minorHAnsi" w:cstheme="minorHAnsi"/>
          <w:sz w:val="20"/>
          <w:szCs w:val="20"/>
        </w:rPr>
        <w:t xml:space="preserve"> 21</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6.9.3. Obligation du Coordonnateur CTA </w:t>
      </w:r>
      <w:r>
        <w:rPr>
          <w:rFonts w:asciiTheme="minorHAnsi" w:hAnsiTheme="minorHAnsi" w:cstheme="minorHAnsi"/>
          <w:sz w:val="12"/>
          <w:szCs w:val="12"/>
        </w:rPr>
        <w:tab/>
      </w:r>
      <w:r>
        <w:rPr>
          <w:rFonts w:asciiTheme="minorHAnsi" w:hAnsiTheme="minorHAnsi" w:cstheme="minorHAnsi"/>
          <w:sz w:val="20"/>
          <w:szCs w:val="20"/>
        </w:rPr>
        <w:t xml:space="preserve"> 21</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6.10. Formations des enseignants </w:t>
      </w:r>
      <w:r>
        <w:rPr>
          <w:rFonts w:asciiTheme="minorHAnsi" w:hAnsiTheme="minorHAnsi" w:cstheme="minorHAnsi"/>
          <w:sz w:val="12"/>
          <w:szCs w:val="12"/>
        </w:rPr>
        <w:tab/>
      </w:r>
      <w:r>
        <w:rPr>
          <w:rFonts w:asciiTheme="minorHAnsi" w:hAnsiTheme="minorHAnsi" w:cstheme="minorHAnsi"/>
          <w:sz w:val="20"/>
          <w:szCs w:val="20"/>
        </w:rPr>
        <w:t xml:space="preserve"> 21</w:t>
      </w:r>
    </w:p>
    <w:p>
      <w:pPr>
        <w:tabs>
          <w:tab w:val="right" w:leader="dot" w:pos="9070"/>
        </w:tabs>
        <w:spacing w:after="120"/>
        <w:rPr>
          <w:rFonts w:asciiTheme="minorHAnsi" w:hAnsiTheme="minorHAnsi" w:cstheme="minorHAnsi"/>
          <w:b/>
        </w:rPr>
      </w:pPr>
      <w:r>
        <w:rPr>
          <w:rFonts w:asciiTheme="minorHAnsi" w:hAnsiTheme="minorHAnsi" w:cstheme="minorHAnsi"/>
          <w:b/>
        </w:rPr>
        <w:t xml:space="preserve">7. Catégories de frais </w:t>
      </w:r>
      <w:r>
        <w:rPr>
          <w:rFonts w:asciiTheme="minorHAnsi" w:hAnsiTheme="minorHAnsi" w:cstheme="minorHAnsi"/>
          <w:sz w:val="12"/>
          <w:szCs w:val="12"/>
        </w:rPr>
        <w:tab/>
      </w:r>
      <w:r>
        <w:rPr>
          <w:rFonts w:asciiTheme="minorHAnsi" w:hAnsiTheme="minorHAnsi" w:cstheme="minorHAnsi"/>
          <w:b/>
        </w:rPr>
        <w:t xml:space="preserve"> 22</w:t>
      </w:r>
    </w:p>
    <w:p>
      <w:pPr>
        <w:tabs>
          <w:tab w:val="right" w:leader="dot" w:pos="9070"/>
        </w:tabs>
        <w:spacing w:after="120"/>
        <w:rPr>
          <w:rFonts w:asciiTheme="minorHAnsi" w:hAnsiTheme="minorHAnsi" w:cstheme="minorHAnsi"/>
          <w:b/>
        </w:rPr>
      </w:pPr>
      <w:r>
        <w:rPr>
          <w:rFonts w:asciiTheme="minorHAnsi" w:hAnsiTheme="minorHAnsi" w:cstheme="minorHAnsi"/>
          <w:b/>
        </w:rPr>
        <w:t xml:space="preserve">8. Subventions annuelles </w:t>
      </w:r>
      <w:r>
        <w:rPr>
          <w:rFonts w:asciiTheme="minorHAnsi" w:hAnsiTheme="minorHAnsi" w:cstheme="minorHAnsi"/>
          <w:sz w:val="12"/>
          <w:szCs w:val="12"/>
        </w:rPr>
        <w:tab/>
      </w:r>
      <w:r>
        <w:rPr>
          <w:rFonts w:asciiTheme="minorHAnsi" w:hAnsiTheme="minorHAnsi" w:cstheme="minorHAnsi"/>
          <w:b/>
        </w:rPr>
        <w:t xml:space="preserve"> 22</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8.1. Frais de fonctionnement </w:t>
      </w:r>
      <w:r>
        <w:rPr>
          <w:rFonts w:asciiTheme="minorHAnsi" w:hAnsiTheme="minorHAnsi" w:cstheme="minorHAnsi"/>
          <w:sz w:val="12"/>
          <w:szCs w:val="12"/>
        </w:rPr>
        <w:tab/>
      </w:r>
      <w:r>
        <w:rPr>
          <w:rFonts w:asciiTheme="minorHAnsi" w:hAnsiTheme="minorHAnsi" w:cstheme="minorHAnsi"/>
          <w:sz w:val="20"/>
          <w:szCs w:val="20"/>
        </w:rPr>
        <w:t xml:space="preserve"> 22</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8.2. Frais de consommables </w:t>
      </w:r>
      <w:r>
        <w:rPr>
          <w:rFonts w:asciiTheme="minorHAnsi" w:hAnsiTheme="minorHAnsi" w:cstheme="minorHAnsi"/>
          <w:sz w:val="12"/>
          <w:szCs w:val="12"/>
        </w:rPr>
        <w:tab/>
      </w:r>
      <w:r>
        <w:rPr>
          <w:rFonts w:asciiTheme="minorHAnsi" w:hAnsiTheme="minorHAnsi" w:cstheme="minorHAnsi"/>
          <w:sz w:val="20"/>
          <w:szCs w:val="20"/>
        </w:rPr>
        <w:t xml:space="preserve"> 22</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8.2.1. Calcul du montant maximal de la subvention </w:t>
      </w:r>
      <w:r>
        <w:rPr>
          <w:rFonts w:asciiTheme="minorHAnsi" w:hAnsiTheme="minorHAnsi" w:cstheme="minorHAnsi"/>
          <w:sz w:val="12"/>
          <w:szCs w:val="12"/>
        </w:rPr>
        <w:tab/>
      </w:r>
      <w:r>
        <w:rPr>
          <w:rFonts w:asciiTheme="minorHAnsi" w:hAnsiTheme="minorHAnsi" w:cstheme="minorHAnsi"/>
          <w:sz w:val="20"/>
          <w:szCs w:val="20"/>
        </w:rPr>
        <w:t xml:space="preserve"> 22</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8.2.2. Formations concernées par la subvention </w:t>
      </w:r>
      <w:r>
        <w:rPr>
          <w:rFonts w:asciiTheme="minorHAnsi" w:hAnsiTheme="minorHAnsi" w:cstheme="minorHAnsi"/>
          <w:sz w:val="12"/>
          <w:szCs w:val="12"/>
        </w:rPr>
        <w:tab/>
      </w:r>
      <w:r>
        <w:rPr>
          <w:rFonts w:asciiTheme="minorHAnsi" w:hAnsiTheme="minorHAnsi" w:cstheme="minorHAnsi"/>
          <w:sz w:val="20"/>
          <w:szCs w:val="20"/>
        </w:rPr>
        <w:t xml:space="preserve"> 23</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8.2.3. Subvention pour les élèves internes </w:t>
      </w:r>
      <w:r>
        <w:rPr>
          <w:rFonts w:asciiTheme="minorHAnsi" w:hAnsiTheme="minorHAnsi" w:cstheme="minorHAnsi"/>
          <w:sz w:val="12"/>
          <w:szCs w:val="12"/>
        </w:rPr>
        <w:tab/>
      </w:r>
      <w:r>
        <w:rPr>
          <w:rFonts w:asciiTheme="minorHAnsi" w:hAnsiTheme="minorHAnsi" w:cstheme="minorHAnsi"/>
          <w:sz w:val="20"/>
          <w:szCs w:val="20"/>
        </w:rPr>
        <w:t xml:space="preserve"> 23</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8.2.4. Justification de la consommation de la subvention </w:t>
      </w:r>
      <w:r>
        <w:rPr>
          <w:rFonts w:asciiTheme="minorHAnsi" w:hAnsiTheme="minorHAnsi" w:cstheme="minorHAnsi"/>
          <w:sz w:val="12"/>
          <w:szCs w:val="12"/>
        </w:rPr>
        <w:tab/>
      </w:r>
      <w:r>
        <w:rPr>
          <w:rFonts w:asciiTheme="minorHAnsi" w:hAnsiTheme="minorHAnsi" w:cstheme="minorHAnsi"/>
          <w:sz w:val="20"/>
          <w:szCs w:val="20"/>
        </w:rPr>
        <w:t xml:space="preserve"> 23</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8.3. Octroi de subventions aux CTA dans leur première année de fonctionnement </w:t>
      </w:r>
      <w:r>
        <w:rPr>
          <w:rFonts w:asciiTheme="minorHAnsi" w:hAnsiTheme="minorHAnsi" w:cstheme="minorHAnsi"/>
          <w:sz w:val="12"/>
          <w:szCs w:val="12"/>
        </w:rPr>
        <w:tab/>
      </w:r>
      <w:r>
        <w:rPr>
          <w:rFonts w:asciiTheme="minorHAnsi" w:hAnsiTheme="minorHAnsi" w:cstheme="minorHAnsi"/>
          <w:sz w:val="20"/>
          <w:szCs w:val="20"/>
        </w:rPr>
        <w:t xml:space="preserve"> 24</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8.4. Versement des subventions </w:t>
      </w:r>
      <w:r>
        <w:rPr>
          <w:rFonts w:asciiTheme="minorHAnsi" w:hAnsiTheme="minorHAnsi" w:cstheme="minorHAnsi"/>
          <w:sz w:val="12"/>
          <w:szCs w:val="12"/>
        </w:rPr>
        <w:tab/>
      </w:r>
      <w:r>
        <w:rPr>
          <w:rFonts w:asciiTheme="minorHAnsi" w:hAnsiTheme="minorHAnsi" w:cstheme="minorHAnsi"/>
          <w:sz w:val="20"/>
          <w:szCs w:val="20"/>
        </w:rPr>
        <w:t xml:space="preserve"> 24</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8.5. Gestion administrative et financière des CTA </w:t>
      </w:r>
      <w:r>
        <w:rPr>
          <w:rFonts w:asciiTheme="minorHAnsi" w:hAnsiTheme="minorHAnsi" w:cstheme="minorHAnsi"/>
          <w:sz w:val="12"/>
          <w:szCs w:val="12"/>
        </w:rPr>
        <w:tab/>
      </w:r>
      <w:r>
        <w:rPr>
          <w:rFonts w:asciiTheme="minorHAnsi" w:hAnsiTheme="minorHAnsi" w:cstheme="minorHAnsi"/>
          <w:sz w:val="20"/>
          <w:szCs w:val="20"/>
        </w:rPr>
        <w:t xml:space="preserve"> 24</w:t>
      </w:r>
    </w:p>
    <w:p>
      <w:pPr>
        <w:tabs>
          <w:tab w:val="right" w:leader="dot" w:pos="9070"/>
        </w:tabs>
        <w:spacing w:after="120"/>
        <w:rPr>
          <w:rFonts w:asciiTheme="minorHAnsi" w:hAnsiTheme="minorHAnsi" w:cstheme="minorHAnsi"/>
          <w:b/>
        </w:rPr>
      </w:pPr>
      <w:r>
        <w:rPr>
          <w:rFonts w:asciiTheme="minorHAnsi" w:hAnsiTheme="minorHAnsi" w:cstheme="minorHAnsi"/>
          <w:b/>
        </w:rPr>
        <w:t xml:space="preserve">9. Rapport d’activités </w:t>
      </w:r>
      <w:r>
        <w:rPr>
          <w:rFonts w:asciiTheme="minorHAnsi" w:hAnsiTheme="minorHAnsi" w:cstheme="minorHAnsi"/>
          <w:sz w:val="12"/>
          <w:szCs w:val="12"/>
        </w:rPr>
        <w:tab/>
      </w:r>
      <w:r>
        <w:rPr>
          <w:rFonts w:asciiTheme="minorHAnsi" w:hAnsiTheme="minorHAnsi" w:cstheme="minorHAnsi"/>
          <w:b/>
        </w:rPr>
        <w:t xml:space="preserve"> 24</w:t>
      </w:r>
    </w:p>
    <w:p>
      <w:pPr>
        <w:tabs>
          <w:tab w:val="right" w:leader="dot" w:pos="9070"/>
        </w:tabs>
        <w:spacing w:after="120"/>
        <w:rPr>
          <w:rFonts w:asciiTheme="minorHAnsi" w:hAnsiTheme="minorHAnsi" w:cstheme="minorHAnsi"/>
          <w:b/>
        </w:rPr>
      </w:pPr>
      <w:r>
        <w:rPr>
          <w:rFonts w:asciiTheme="minorHAnsi" w:hAnsiTheme="minorHAnsi" w:cstheme="minorHAnsi"/>
          <w:b/>
        </w:rPr>
        <w:t xml:space="preserve">10. Equipements pédagogiques des CTA </w:t>
      </w:r>
      <w:r>
        <w:rPr>
          <w:rFonts w:asciiTheme="minorHAnsi" w:hAnsiTheme="minorHAnsi" w:cstheme="minorHAnsi"/>
          <w:sz w:val="12"/>
          <w:szCs w:val="12"/>
        </w:rPr>
        <w:tab/>
      </w:r>
      <w:r>
        <w:rPr>
          <w:rFonts w:asciiTheme="minorHAnsi" w:hAnsiTheme="minorHAnsi" w:cstheme="minorHAnsi"/>
          <w:b/>
        </w:rPr>
        <w:t xml:space="preserve"> 25</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10.1. Financement des équipements </w:t>
      </w:r>
      <w:r>
        <w:rPr>
          <w:rFonts w:asciiTheme="minorHAnsi" w:hAnsiTheme="minorHAnsi" w:cstheme="minorHAnsi"/>
          <w:sz w:val="12"/>
          <w:szCs w:val="12"/>
        </w:rPr>
        <w:tab/>
      </w:r>
      <w:r>
        <w:rPr>
          <w:rFonts w:asciiTheme="minorHAnsi" w:hAnsiTheme="minorHAnsi" w:cstheme="minorHAnsi"/>
          <w:sz w:val="20"/>
          <w:szCs w:val="20"/>
        </w:rPr>
        <w:t xml:space="preserve"> 25</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10.1.1. Pour les équipements acquis avant le 1</w:t>
      </w:r>
      <w:r>
        <w:rPr>
          <w:rFonts w:asciiTheme="minorHAnsi" w:hAnsiTheme="minorHAnsi" w:cstheme="minorHAnsi"/>
          <w:sz w:val="20"/>
          <w:szCs w:val="20"/>
          <w:vertAlign w:val="superscript"/>
        </w:rPr>
        <w:t>er</w:t>
      </w:r>
      <w:r>
        <w:rPr>
          <w:rFonts w:asciiTheme="minorHAnsi" w:hAnsiTheme="minorHAnsi" w:cstheme="minorHAnsi"/>
          <w:sz w:val="20"/>
          <w:szCs w:val="20"/>
        </w:rPr>
        <w:t xml:space="preserve"> janvier 2014 </w:t>
      </w:r>
      <w:r>
        <w:rPr>
          <w:rFonts w:asciiTheme="minorHAnsi" w:hAnsiTheme="minorHAnsi" w:cstheme="minorHAnsi"/>
          <w:sz w:val="12"/>
          <w:szCs w:val="12"/>
        </w:rPr>
        <w:tab/>
      </w:r>
      <w:r>
        <w:rPr>
          <w:rFonts w:asciiTheme="minorHAnsi" w:hAnsiTheme="minorHAnsi" w:cstheme="minorHAnsi"/>
          <w:sz w:val="20"/>
          <w:szCs w:val="20"/>
        </w:rPr>
        <w:t xml:space="preserve"> 25</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10.1.1.1. En Région wallonne </w:t>
      </w:r>
      <w:r>
        <w:rPr>
          <w:rFonts w:asciiTheme="minorHAnsi" w:hAnsiTheme="minorHAnsi" w:cstheme="minorHAnsi"/>
          <w:sz w:val="12"/>
          <w:szCs w:val="12"/>
        </w:rPr>
        <w:tab/>
      </w:r>
      <w:r>
        <w:rPr>
          <w:rFonts w:asciiTheme="minorHAnsi" w:hAnsiTheme="minorHAnsi" w:cstheme="minorHAnsi"/>
          <w:sz w:val="20"/>
          <w:szCs w:val="20"/>
        </w:rPr>
        <w:t xml:space="preserve"> 25</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10.1.1.2. En Région de Bruxelles-Capitale </w:t>
      </w:r>
      <w:r>
        <w:rPr>
          <w:rFonts w:asciiTheme="minorHAnsi" w:hAnsiTheme="minorHAnsi" w:cstheme="minorHAnsi"/>
          <w:sz w:val="12"/>
          <w:szCs w:val="12"/>
        </w:rPr>
        <w:tab/>
      </w:r>
      <w:r>
        <w:rPr>
          <w:rFonts w:asciiTheme="minorHAnsi" w:hAnsiTheme="minorHAnsi" w:cstheme="minorHAnsi"/>
          <w:sz w:val="20"/>
          <w:szCs w:val="20"/>
        </w:rPr>
        <w:t xml:space="preserve"> 25</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10.1.2. Pour les équipements acquis après le 1</w:t>
      </w:r>
      <w:r>
        <w:rPr>
          <w:rFonts w:asciiTheme="minorHAnsi" w:hAnsiTheme="minorHAnsi" w:cstheme="minorHAnsi"/>
          <w:sz w:val="20"/>
          <w:szCs w:val="20"/>
          <w:vertAlign w:val="superscript"/>
        </w:rPr>
        <w:t>er</w:t>
      </w:r>
      <w:r>
        <w:rPr>
          <w:rFonts w:asciiTheme="minorHAnsi" w:hAnsiTheme="minorHAnsi" w:cstheme="minorHAnsi"/>
          <w:sz w:val="20"/>
          <w:szCs w:val="20"/>
        </w:rPr>
        <w:t xml:space="preserve"> janvier 2014 </w:t>
      </w:r>
      <w:r>
        <w:rPr>
          <w:rFonts w:asciiTheme="minorHAnsi" w:hAnsiTheme="minorHAnsi" w:cstheme="minorHAnsi"/>
          <w:sz w:val="12"/>
          <w:szCs w:val="12"/>
        </w:rPr>
        <w:tab/>
      </w:r>
      <w:r>
        <w:rPr>
          <w:rFonts w:asciiTheme="minorHAnsi" w:hAnsiTheme="minorHAnsi" w:cstheme="minorHAnsi"/>
          <w:sz w:val="20"/>
          <w:szCs w:val="20"/>
        </w:rPr>
        <w:t xml:space="preserve"> 25</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10.2. Acquisition de nouveau matériel </w:t>
      </w:r>
      <w:r>
        <w:rPr>
          <w:rFonts w:asciiTheme="minorHAnsi" w:hAnsiTheme="minorHAnsi" w:cstheme="minorHAnsi"/>
          <w:sz w:val="12"/>
          <w:szCs w:val="12"/>
        </w:rPr>
        <w:tab/>
      </w:r>
      <w:r>
        <w:rPr>
          <w:rFonts w:asciiTheme="minorHAnsi" w:hAnsiTheme="minorHAnsi" w:cstheme="minorHAnsi"/>
          <w:sz w:val="20"/>
          <w:szCs w:val="20"/>
        </w:rPr>
        <w:t xml:space="preserve"> 25</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10.2.1. Plan d’investissement </w:t>
      </w:r>
      <w:r>
        <w:rPr>
          <w:rFonts w:asciiTheme="minorHAnsi" w:hAnsiTheme="minorHAnsi" w:cstheme="minorHAnsi"/>
          <w:sz w:val="12"/>
          <w:szCs w:val="12"/>
        </w:rPr>
        <w:tab/>
      </w:r>
      <w:r>
        <w:rPr>
          <w:rFonts w:asciiTheme="minorHAnsi" w:hAnsiTheme="minorHAnsi" w:cstheme="minorHAnsi"/>
          <w:sz w:val="20"/>
          <w:szCs w:val="20"/>
        </w:rPr>
        <w:t xml:space="preserve"> 25</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10.2.2. Conduite des marchés publics d’acquisition </w:t>
      </w:r>
      <w:r>
        <w:rPr>
          <w:rFonts w:asciiTheme="minorHAnsi" w:hAnsiTheme="minorHAnsi" w:cstheme="minorHAnsi"/>
          <w:sz w:val="12"/>
          <w:szCs w:val="12"/>
        </w:rPr>
        <w:tab/>
      </w:r>
      <w:r>
        <w:rPr>
          <w:rFonts w:asciiTheme="minorHAnsi" w:hAnsiTheme="minorHAnsi" w:cstheme="minorHAnsi"/>
          <w:sz w:val="20"/>
          <w:szCs w:val="20"/>
        </w:rPr>
        <w:t xml:space="preserve"> 26</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10.3. Garantie des équipements acquis par la Fédération Wallonie-Bruxelles </w:t>
      </w:r>
      <w:r>
        <w:rPr>
          <w:rFonts w:asciiTheme="minorHAnsi" w:hAnsiTheme="minorHAnsi" w:cstheme="minorHAnsi"/>
          <w:sz w:val="12"/>
          <w:szCs w:val="12"/>
        </w:rPr>
        <w:tab/>
      </w:r>
      <w:r>
        <w:rPr>
          <w:rFonts w:asciiTheme="minorHAnsi" w:hAnsiTheme="minorHAnsi" w:cstheme="minorHAnsi"/>
          <w:sz w:val="20"/>
          <w:szCs w:val="20"/>
        </w:rPr>
        <w:t xml:space="preserve"> 27</w:t>
      </w:r>
    </w:p>
    <w:p>
      <w:pPr>
        <w:tabs>
          <w:tab w:val="right" w:leader="dot" w:pos="9070"/>
        </w:tabs>
        <w:spacing w:after="120"/>
        <w:ind w:left="1134" w:hanging="1134"/>
        <w:rPr>
          <w:rFonts w:asciiTheme="minorHAnsi" w:hAnsiTheme="minorHAnsi" w:cstheme="minorHAnsi"/>
          <w:sz w:val="20"/>
          <w:szCs w:val="20"/>
        </w:rPr>
      </w:pPr>
      <w:r>
        <w:rPr>
          <w:rFonts w:asciiTheme="minorHAnsi" w:hAnsiTheme="minorHAnsi" w:cstheme="minorHAnsi"/>
          <w:sz w:val="20"/>
          <w:szCs w:val="20"/>
        </w:rPr>
        <w:t xml:space="preserve">10.4. Maintenance des équipements appartenant à la Fédération Wallonie-Bruxelles </w:t>
      </w:r>
      <w:r>
        <w:rPr>
          <w:rFonts w:asciiTheme="minorHAnsi" w:hAnsiTheme="minorHAnsi" w:cstheme="minorHAnsi"/>
          <w:sz w:val="12"/>
          <w:szCs w:val="12"/>
        </w:rPr>
        <w:tab/>
      </w:r>
      <w:r>
        <w:rPr>
          <w:rFonts w:asciiTheme="minorHAnsi" w:hAnsiTheme="minorHAnsi" w:cstheme="minorHAnsi"/>
          <w:sz w:val="20"/>
          <w:szCs w:val="20"/>
        </w:rPr>
        <w:t xml:space="preserve"> 27</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10.4.1. Définitions </w:t>
      </w:r>
      <w:r>
        <w:rPr>
          <w:rFonts w:asciiTheme="minorHAnsi" w:hAnsiTheme="minorHAnsi" w:cstheme="minorHAnsi"/>
          <w:sz w:val="12"/>
          <w:szCs w:val="12"/>
        </w:rPr>
        <w:tab/>
      </w:r>
      <w:r>
        <w:rPr>
          <w:rFonts w:asciiTheme="minorHAnsi" w:hAnsiTheme="minorHAnsi" w:cstheme="minorHAnsi"/>
          <w:sz w:val="20"/>
          <w:szCs w:val="20"/>
        </w:rPr>
        <w:t xml:space="preserve"> 27</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10.4.2. Frais éligibles </w:t>
      </w:r>
      <w:r>
        <w:rPr>
          <w:rFonts w:asciiTheme="minorHAnsi" w:hAnsiTheme="minorHAnsi" w:cstheme="minorHAnsi"/>
          <w:sz w:val="12"/>
          <w:szCs w:val="12"/>
        </w:rPr>
        <w:tab/>
      </w:r>
      <w:r>
        <w:rPr>
          <w:rFonts w:asciiTheme="minorHAnsi" w:hAnsiTheme="minorHAnsi" w:cstheme="minorHAnsi"/>
          <w:sz w:val="20"/>
          <w:szCs w:val="20"/>
        </w:rPr>
        <w:t xml:space="preserve"> 28</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10.4.3. Procédure de remboursement </w:t>
      </w:r>
      <w:r>
        <w:rPr>
          <w:rFonts w:asciiTheme="minorHAnsi" w:hAnsiTheme="minorHAnsi" w:cstheme="minorHAnsi"/>
          <w:sz w:val="12"/>
          <w:szCs w:val="12"/>
        </w:rPr>
        <w:tab/>
      </w:r>
      <w:r>
        <w:rPr>
          <w:rFonts w:asciiTheme="minorHAnsi" w:hAnsiTheme="minorHAnsi" w:cstheme="minorHAnsi"/>
          <w:sz w:val="20"/>
          <w:szCs w:val="20"/>
        </w:rPr>
        <w:t xml:space="preserve"> 28</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10.4.4. Constitution du dossier justificatif </w:t>
      </w:r>
      <w:r>
        <w:rPr>
          <w:rFonts w:asciiTheme="minorHAnsi" w:hAnsiTheme="minorHAnsi" w:cstheme="minorHAnsi"/>
          <w:sz w:val="12"/>
          <w:szCs w:val="12"/>
        </w:rPr>
        <w:tab/>
      </w:r>
      <w:r>
        <w:rPr>
          <w:rFonts w:asciiTheme="minorHAnsi" w:hAnsiTheme="minorHAnsi" w:cstheme="minorHAnsi"/>
          <w:sz w:val="20"/>
          <w:szCs w:val="20"/>
        </w:rPr>
        <w:t xml:space="preserve"> 28</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10.4.5. Date ultime d’introduction des dossiers justificatifs </w:t>
      </w:r>
      <w:r>
        <w:rPr>
          <w:rFonts w:asciiTheme="minorHAnsi" w:hAnsiTheme="minorHAnsi" w:cstheme="minorHAnsi"/>
          <w:sz w:val="12"/>
          <w:szCs w:val="12"/>
        </w:rPr>
        <w:tab/>
      </w:r>
      <w:r>
        <w:rPr>
          <w:rFonts w:asciiTheme="minorHAnsi" w:hAnsiTheme="minorHAnsi" w:cstheme="minorHAnsi"/>
          <w:sz w:val="20"/>
          <w:szCs w:val="20"/>
        </w:rPr>
        <w:t xml:space="preserve"> 28</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10.4.6. Adresse </w:t>
      </w:r>
      <w:r>
        <w:rPr>
          <w:rFonts w:asciiTheme="minorHAnsi" w:hAnsiTheme="minorHAnsi" w:cstheme="minorHAnsi"/>
          <w:sz w:val="12"/>
          <w:szCs w:val="12"/>
        </w:rPr>
        <w:tab/>
      </w:r>
      <w:r>
        <w:rPr>
          <w:rFonts w:asciiTheme="minorHAnsi" w:hAnsiTheme="minorHAnsi" w:cstheme="minorHAnsi"/>
          <w:sz w:val="20"/>
          <w:szCs w:val="20"/>
        </w:rPr>
        <w:t xml:space="preserve"> 28</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10.5. Dommages occasionnés aux équipements acquis par la Fédération Wallonie-Bruxelles </w:t>
      </w:r>
      <w:r>
        <w:rPr>
          <w:rFonts w:asciiTheme="minorHAnsi" w:hAnsiTheme="minorHAnsi" w:cstheme="minorHAnsi"/>
          <w:sz w:val="12"/>
          <w:szCs w:val="12"/>
        </w:rPr>
        <w:tab/>
      </w:r>
      <w:r>
        <w:rPr>
          <w:rFonts w:asciiTheme="minorHAnsi" w:hAnsiTheme="minorHAnsi" w:cstheme="minorHAnsi"/>
          <w:sz w:val="20"/>
          <w:szCs w:val="20"/>
        </w:rPr>
        <w:t xml:space="preserve"> 29</w:t>
      </w:r>
    </w:p>
    <w:p>
      <w:pPr>
        <w:tabs>
          <w:tab w:val="right" w:leader="dot" w:pos="9070"/>
        </w:tabs>
        <w:spacing w:after="120"/>
        <w:ind w:left="284"/>
        <w:rPr>
          <w:rFonts w:asciiTheme="minorHAnsi" w:hAnsiTheme="minorHAnsi" w:cstheme="minorHAnsi"/>
          <w:sz w:val="20"/>
          <w:szCs w:val="20"/>
        </w:rPr>
      </w:pPr>
      <w:r>
        <w:rPr>
          <w:rFonts w:asciiTheme="minorHAnsi" w:hAnsiTheme="minorHAnsi" w:cstheme="minorHAnsi"/>
          <w:sz w:val="20"/>
          <w:szCs w:val="20"/>
        </w:rPr>
        <w:t xml:space="preserve">10.5.1. Etablir le type de dommage </w:t>
      </w:r>
      <w:r>
        <w:rPr>
          <w:rFonts w:asciiTheme="minorHAnsi" w:hAnsiTheme="minorHAnsi" w:cstheme="minorHAnsi"/>
          <w:sz w:val="12"/>
          <w:szCs w:val="12"/>
        </w:rPr>
        <w:tab/>
      </w:r>
      <w:r>
        <w:rPr>
          <w:rFonts w:asciiTheme="minorHAnsi" w:hAnsiTheme="minorHAnsi" w:cstheme="minorHAnsi"/>
          <w:sz w:val="20"/>
          <w:szCs w:val="20"/>
        </w:rPr>
        <w:t xml:space="preserve"> 29</w:t>
      </w:r>
      <w:r>
        <w:rPr>
          <w:rFonts w:asciiTheme="minorHAnsi" w:hAnsiTheme="minorHAnsi" w:cstheme="minorHAnsi"/>
          <w:sz w:val="20"/>
          <w:szCs w:val="20"/>
        </w:rPr>
        <w:br w:type="page"/>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lastRenderedPageBreak/>
        <w:t xml:space="preserve">10.5.1.1. En cas de panne </w:t>
      </w:r>
      <w:r>
        <w:rPr>
          <w:rFonts w:asciiTheme="minorHAnsi" w:hAnsiTheme="minorHAnsi" w:cstheme="minorHAnsi"/>
          <w:i/>
          <w:sz w:val="12"/>
          <w:szCs w:val="12"/>
        </w:rPr>
        <w:tab/>
      </w:r>
      <w:r>
        <w:rPr>
          <w:rFonts w:asciiTheme="minorHAnsi" w:hAnsiTheme="minorHAnsi" w:cstheme="minorHAnsi"/>
          <w:sz w:val="20"/>
          <w:szCs w:val="20"/>
        </w:rPr>
        <w:t xml:space="preserve"> 30</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10.5.1.2. En cas de casse non couverte par l’assurance ou d’usure </w:t>
      </w:r>
      <w:r>
        <w:rPr>
          <w:rFonts w:asciiTheme="minorHAnsi" w:hAnsiTheme="minorHAnsi" w:cstheme="minorHAnsi"/>
          <w:i/>
          <w:sz w:val="12"/>
          <w:szCs w:val="12"/>
        </w:rPr>
        <w:tab/>
      </w:r>
      <w:r>
        <w:rPr>
          <w:rFonts w:asciiTheme="minorHAnsi" w:hAnsiTheme="minorHAnsi" w:cstheme="minorHAnsi"/>
          <w:i/>
          <w:sz w:val="20"/>
          <w:szCs w:val="20"/>
        </w:rPr>
        <w:t xml:space="preserve"> </w:t>
      </w:r>
      <w:r>
        <w:rPr>
          <w:rFonts w:asciiTheme="minorHAnsi" w:hAnsiTheme="minorHAnsi" w:cstheme="minorHAnsi"/>
          <w:sz w:val="20"/>
          <w:szCs w:val="20"/>
        </w:rPr>
        <w:t>30</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10.5.1.3. En cas de sinistre – Démarches à entreprendre auprès de la Compagnie d’Assurance </w:t>
      </w:r>
      <w:r>
        <w:rPr>
          <w:rFonts w:asciiTheme="minorHAnsi" w:hAnsiTheme="minorHAnsi" w:cstheme="minorHAnsi"/>
          <w:i/>
          <w:sz w:val="12"/>
          <w:szCs w:val="12"/>
        </w:rPr>
        <w:tab/>
      </w:r>
      <w:r>
        <w:rPr>
          <w:rFonts w:asciiTheme="minorHAnsi" w:hAnsiTheme="minorHAnsi" w:cstheme="minorHAnsi"/>
          <w:sz w:val="20"/>
          <w:szCs w:val="20"/>
        </w:rPr>
        <w:t xml:space="preserve"> 30</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10.5.1.4. En cas de vol ou de disparition </w:t>
      </w:r>
      <w:r>
        <w:rPr>
          <w:rFonts w:asciiTheme="minorHAnsi" w:hAnsiTheme="minorHAnsi" w:cstheme="minorHAnsi"/>
          <w:i/>
          <w:sz w:val="12"/>
          <w:szCs w:val="12"/>
        </w:rPr>
        <w:tab/>
      </w:r>
      <w:r>
        <w:rPr>
          <w:rFonts w:asciiTheme="minorHAnsi" w:hAnsiTheme="minorHAnsi" w:cstheme="minorHAnsi"/>
          <w:sz w:val="20"/>
          <w:szCs w:val="20"/>
        </w:rPr>
        <w:t xml:space="preserve"> 31</w:t>
      </w:r>
    </w:p>
    <w:p>
      <w:pPr>
        <w:tabs>
          <w:tab w:val="right" w:leader="dot" w:pos="9070"/>
        </w:tabs>
        <w:spacing w:after="120"/>
        <w:ind w:left="567"/>
        <w:rPr>
          <w:rFonts w:asciiTheme="minorHAnsi" w:hAnsiTheme="minorHAnsi" w:cstheme="minorHAnsi"/>
          <w:sz w:val="20"/>
          <w:szCs w:val="20"/>
        </w:rPr>
      </w:pPr>
      <w:r>
        <w:rPr>
          <w:rFonts w:asciiTheme="minorHAnsi" w:hAnsiTheme="minorHAnsi" w:cstheme="minorHAnsi"/>
          <w:sz w:val="20"/>
          <w:szCs w:val="20"/>
        </w:rPr>
        <w:t xml:space="preserve">10.5.2. Que faire si un équipement arrive en fin de vie? </w:t>
      </w:r>
      <w:r>
        <w:rPr>
          <w:rFonts w:asciiTheme="minorHAnsi" w:hAnsiTheme="minorHAnsi" w:cstheme="minorHAnsi"/>
          <w:sz w:val="12"/>
          <w:szCs w:val="12"/>
        </w:rPr>
        <w:tab/>
      </w:r>
      <w:r>
        <w:rPr>
          <w:rFonts w:asciiTheme="minorHAnsi" w:hAnsiTheme="minorHAnsi" w:cstheme="minorHAnsi"/>
          <w:sz w:val="20"/>
          <w:szCs w:val="20"/>
        </w:rPr>
        <w:t xml:space="preserve"> 31</w:t>
      </w:r>
    </w:p>
    <w:p>
      <w:pPr>
        <w:tabs>
          <w:tab w:val="right" w:leader="dot" w:pos="9070"/>
        </w:tabs>
        <w:spacing w:after="120"/>
        <w:ind w:left="567"/>
        <w:rPr>
          <w:rFonts w:asciiTheme="minorHAnsi" w:hAnsiTheme="minorHAnsi" w:cstheme="minorHAnsi"/>
          <w:sz w:val="20"/>
          <w:szCs w:val="20"/>
        </w:rPr>
      </w:pPr>
      <w:r>
        <w:rPr>
          <w:rFonts w:asciiTheme="minorHAnsi" w:hAnsiTheme="minorHAnsi" w:cstheme="minorHAnsi"/>
          <w:sz w:val="20"/>
          <w:szCs w:val="20"/>
        </w:rPr>
        <w:t xml:space="preserve">10.5.3. Remplacement ou réparation d’une pièce ou d’un équipement </w:t>
      </w:r>
      <w:r>
        <w:rPr>
          <w:rFonts w:asciiTheme="minorHAnsi" w:hAnsiTheme="minorHAnsi" w:cstheme="minorHAnsi"/>
          <w:sz w:val="12"/>
          <w:szCs w:val="12"/>
        </w:rPr>
        <w:tab/>
      </w:r>
      <w:r>
        <w:rPr>
          <w:rFonts w:asciiTheme="minorHAnsi" w:hAnsiTheme="minorHAnsi" w:cstheme="minorHAnsi"/>
          <w:sz w:val="20"/>
          <w:szCs w:val="20"/>
        </w:rPr>
        <w:t xml:space="preserve"> 32</w:t>
      </w:r>
    </w:p>
    <w:p>
      <w:pPr>
        <w:tabs>
          <w:tab w:val="right" w:leader="dot" w:pos="9070"/>
        </w:tabs>
        <w:spacing w:after="120"/>
        <w:ind w:left="567"/>
        <w:rPr>
          <w:rFonts w:asciiTheme="minorHAnsi" w:hAnsiTheme="minorHAnsi" w:cstheme="minorHAnsi"/>
          <w:sz w:val="20"/>
          <w:szCs w:val="20"/>
        </w:rPr>
      </w:pPr>
      <w:r>
        <w:rPr>
          <w:rFonts w:asciiTheme="minorHAnsi" w:hAnsiTheme="minorHAnsi" w:cstheme="minorHAnsi"/>
          <w:sz w:val="20"/>
          <w:szCs w:val="20"/>
        </w:rPr>
        <w:t xml:space="preserve">10.5.4. Types de prises en charge financières </w:t>
      </w:r>
      <w:r>
        <w:rPr>
          <w:rFonts w:asciiTheme="minorHAnsi" w:hAnsiTheme="minorHAnsi" w:cstheme="minorHAnsi"/>
          <w:sz w:val="12"/>
          <w:szCs w:val="12"/>
        </w:rPr>
        <w:tab/>
      </w:r>
      <w:r>
        <w:rPr>
          <w:rFonts w:asciiTheme="minorHAnsi" w:hAnsiTheme="minorHAnsi" w:cstheme="minorHAnsi"/>
          <w:sz w:val="20"/>
          <w:szCs w:val="20"/>
        </w:rPr>
        <w:t xml:space="preserve"> 32</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10.6. Assurance des équipements acquis par la Fédération Wallonie-Bruxelles </w:t>
      </w:r>
      <w:r>
        <w:rPr>
          <w:rFonts w:asciiTheme="minorHAnsi" w:hAnsiTheme="minorHAnsi" w:cstheme="minorHAnsi"/>
          <w:sz w:val="12"/>
          <w:szCs w:val="12"/>
        </w:rPr>
        <w:tab/>
      </w:r>
      <w:r>
        <w:rPr>
          <w:rFonts w:asciiTheme="minorHAnsi" w:hAnsiTheme="minorHAnsi" w:cstheme="minorHAnsi"/>
          <w:sz w:val="20"/>
          <w:szCs w:val="20"/>
        </w:rPr>
        <w:t xml:space="preserve"> 32</w:t>
      </w:r>
    </w:p>
    <w:p>
      <w:pPr>
        <w:tabs>
          <w:tab w:val="right" w:leader="dot" w:pos="9070"/>
        </w:tabs>
        <w:spacing w:after="120"/>
        <w:ind w:left="567"/>
        <w:rPr>
          <w:rFonts w:asciiTheme="minorHAnsi" w:hAnsiTheme="minorHAnsi" w:cstheme="minorHAnsi"/>
          <w:sz w:val="20"/>
          <w:szCs w:val="20"/>
        </w:rPr>
      </w:pPr>
      <w:r>
        <w:rPr>
          <w:rFonts w:asciiTheme="minorHAnsi" w:hAnsiTheme="minorHAnsi" w:cstheme="minorHAnsi"/>
          <w:sz w:val="20"/>
          <w:szCs w:val="20"/>
        </w:rPr>
        <w:t xml:space="preserve">10.6.1. Conditions d’assurance </w:t>
      </w:r>
      <w:r>
        <w:rPr>
          <w:rFonts w:asciiTheme="minorHAnsi" w:hAnsiTheme="minorHAnsi" w:cstheme="minorHAnsi"/>
          <w:sz w:val="12"/>
          <w:szCs w:val="12"/>
        </w:rPr>
        <w:tab/>
      </w:r>
      <w:r>
        <w:rPr>
          <w:rFonts w:asciiTheme="minorHAnsi" w:hAnsiTheme="minorHAnsi" w:cstheme="minorHAnsi"/>
          <w:sz w:val="20"/>
          <w:szCs w:val="20"/>
        </w:rPr>
        <w:t xml:space="preserve"> 32</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10.6.1.1. Généralités </w:t>
      </w:r>
      <w:r>
        <w:rPr>
          <w:rFonts w:asciiTheme="minorHAnsi" w:hAnsiTheme="minorHAnsi" w:cstheme="minorHAnsi"/>
          <w:i/>
          <w:sz w:val="12"/>
          <w:szCs w:val="12"/>
        </w:rPr>
        <w:tab/>
      </w:r>
      <w:r>
        <w:rPr>
          <w:rFonts w:asciiTheme="minorHAnsi" w:hAnsiTheme="minorHAnsi" w:cstheme="minorHAnsi"/>
          <w:sz w:val="20"/>
          <w:szCs w:val="20"/>
        </w:rPr>
        <w:t xml:space="preserve"> 32</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10.6.1.2. Exclusions </w:t>
      </w:r>
      <w:r>
        <w:rPr>
          <w:rFonts w:asciiTheme="minorHAnsi" w:hAnsiTheme="minorHAnsi" w:cstheme="minorHAnsi"/>
          <w:i/>
          <w:sz w:val="12"/>
          <w:szCs w:val="12"/>
        </w:rPr>
        <w:tab/>
      </w:r>
      <w:r>
        <w:rPr>
          <w:rFonts w:asciiTheme="minorHAnsi" w:hAnsiTheme="minorHAnsi" w:cstheme="minorHAnsi"/>
          <w:sz w:val="20"/>
          <w:szCs w:val="20"/>
        </w:rPr>
        <w:t xml:space="preserve"> 33</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10.6.1.3. Obligations de l’assuré </w:t>
      </w:r>
      <w:r>
        <w:rPr>
          <w:rFonts w:asciiTheme="minorHAnsi" w:hAnsiTheme="minorHAnsi" w:cstheme="minorHAnsi"/>
          <w:i/>
          <w:sz w:val="12"/>
          <w:szCs w:val="12"/>
        </w:rPr>
        <w:tab/>
      </w:r>
      <w:r>
        <w:rPr>
          <w:rFonts w:asciiTheme="minorHAnsi" w:hAnsiTheme="minorHAnsi" w:cstheme="minorHAnsi"/>
          <w:sz w:val="20"/>
          <w:szCs w:val="20"/>
        </w:rPr>
        <w:t xml:space="preserve"> 33</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10.6.1.4. Déménagement </w:t>
      </w:r>
      <w:r>
        <w:rPr>
          <w:rFonts w:asciiTheme="minorHAnsi" w:hAnsiTheme="minorHAnsi" w:cstheme="minorHAnsi"/>
          <w:i/>
          <w:sz w:val="12"/>
          <w:szCs w:val="12"/>
        </w:rPr>
        <w:tab/>
      </w:r>
      <w:r>
        <w:rPr>
          <w:rFonts w:asciiTheme="minorHAnsi" w:hAnsiTheme="minorHAnsi" w:cstheme="minorHAnsi"/>
          <w:sz w:val="20"/>
          <w:szCs w:val="20"/>
        </w:rPr>
        <w:t xml:space="preserve"> 34</w:t>
      </w:r>
    </w:p>
    <w:p>
      <w:pPr>
        <w:tabs>
          <w:tab w:val="right" w:leader="dot" w:pos="9070"/>
        </w:tabs>
        <w:spacing w:after="120"/>
        <w:ind w:left="567"/>
        <w:rPr>
          <w:rFonts w:asciiTheme="minorHAnsi" w:hAnsiTheme="minorHAnsi" w:cstheme="minorHAnsi"/>
          <w:sz w:val="20"/>
          <w:szCs w:val="20"/>
        </w:rPr>
      </w:pPr>
      <w:r>
        <w:rPr>
          <w:rFonts w:asciiTheme="minorHAnsi" w:hAnsiTheme="minorHAnsi" w:cstheme="minorHAnsi"/>
          <w:sz w:val="20"/>
          <w:szCs w:val="20"/>
        </w:rPr>
        <w:t xml:space="preserve">10.6.2. Démarches à entreprendre en cas de sinistre occasionné à un équipement </w:t>
      </w:r>
      <w:r>
        <w:rPr>
          <w:rFonts w:asciiTheme="minorHAnsi" w:hAnsiTheme="minorHAnsi" w:cstheme="minorHAnsi"/>
          <w:sz w:val="12"/>
          <w:szCs w:val="12"/>
        </w:rPr>
        <w:tab/>
      </w:r>
      <w:r>
        <w:rPr>
          <w:rFonts w:asciiTheme="minorHAnsi" w:hAnsiTheme="minorHAnsi" w:cstheme="minorHAnsi"/>
          <w:sz w:val="20"/>
          <w:szCs w:val="20"/>
        </w:rPr>
        <w:t xml:space="preserve"> 34</w:t>
      </w:r>
    </w:p>
    <w:p>
      <w:pPr>
        <w:tabs>
          <w:tab w:val="right" w:leader="dot" w:pos="9070"/>
        </w:tabs>
        <w:spacing w:after="120"/>
        <w:ind w:left="567"/>
        <w:rPr>
          <w:rFonts w:asciiTheme="minorHAnsi" w:hAnsiTheme="minorHAnsi" w:cstheme="minorHAnsi"/>
          <w:sz w:val="20"/>
          <w:szCs w:val="20"/>
        </w:rPr>
      </w:pPr>
      <w:r>
        <w:rPr>
          <w:rFonts w:asciiTheme="minorHAnsi" w:hAnsiTheme="minorHAnsi" w:cstheme="minorHAnsi"/>
          <w:sz w:val="20"/>
          <w:szCs w:val="20"/>
        </w:rPr>
        <w:t xml:space="preserve">10.6.3. Assurance des équipements lors d’événements temporaires </w:t>
      </w:r>
      <w:r>
        <w:rPr>
          <w:rFonts w:asciiTheme="minorHAnsi" w:hAnsiTheme="minorHAnsi" w:cstheme="minorHAnsi"/>
          <w:sz w:val="12"/>
          <w:szCs w:val="12"/>
        </w:rPr>
        <w:tab/>
      </w:r>
      <w:r>
        <w:rPr>
          <w:rFonts w:asciiTheme="minorHAnsi" w:hAnsiTheme="minorHAnsi" w:cstheme="minorHAnsi"/>
          <w:sz w:val="20"/>
          <w:szCs w:val="20"/>
        </w:rPr>
        <w:t xml:space="preserve"> 35</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10.7. Procédure de déclassement du matériel endommagé </w:t>
      </w:r>
      <w:r>
        <w:rPr>
          <w:rFonts w:asciiTheme="minorHAnsi" w:hAnsiTheme="minorHAnsi" w:cstheme="minorHAnsi"/>
          <w:sz w:val="12"/>
          <w:szCs w:val="12"/>
        </w:rPr>
        <w:tab/>
      </w:r>
      <w:r>
        <w:rPr>
          <w:rFonts w:asciiTheme="minorHAnsi" w:hAnsiTheme="minorHAnsi" w:cstheme="minorHAnsi"/>
          <w:sz w:val="20"/>
          <w:szCs w:val="20"/>
        </w:rPr>
        <w:t xml:space="preserve"> 35</w:t>
      </w:r>
    </w:p>
    <w:p>
      <w:pPr>
        <w:tabs>
          <w:tab w:val="right" w:leader="dot" w:pos="9070"/>
        </w:tabs>
        <w:spacing w:after="120"/>
        <w:ind w:left="567"/>
        <w:rPr>
          <w:rFonts w:asciiTheme="minorHAnsi" w:hAnsiTheme="minorHAnsi" w:cstheme="minorHAnsi"/>
          <w:sz w:val="20"/>
          <w:szCs w:val="20"/>
        </w:rPr>
      </w:pPr>
      <w:r>
        <w:rPr>
          <w:rFonts w:asciiTheme="minorHAnsi" w:hAnsiTheme="minorHAnsi" w:cstheme="minorHAnsi"/>
          <w:sz w:val="20"/>
          <w:szCs w:val="20"/>
        </w:rPr>
        <w:t>10.7.1. Pour tout équipement acquis avant le 1</w:t>
      </w:r>
      <w:r>
        <w:rPr>
          <w:rFonts w:asciiTheme="minorHAnsi" w:hAnsiTheme="minorHAnsi" w:cstheme="minorHAnsi"/>
          <w:sz w:val="20"/>
          <w:szCs w:val="20"/>
          <w:vertAlign w:val="superscript"/>
        </w:rPr>
        <w:t>er</w:t>
      </w:r>
      <w:r>
        <w:rPr>
          <w:rFonts w:asciiTheme="minorHAnsi" w:hAnsiTheme="minorHAnsi" w:cstheme="minorHAnsi"/>
          <w:sz w:val="20"/>
          <w:szCs w:val="20"/>
        </w:rPr>
        <w:t xml:space="preserve"> janvier 2014 </w:t>
      </w:r>
      <w:r>
        <w:rPr>
          <w:rFonts w:asciiTheme="minorHAnsi" w:hAnsiTheme="minorHAnsi" w:cstheme="minorHAnsi"/>
          <w:sz w:val="12"/>
          <w:szCs w:val="12"/>
        </w:rPr>
        <w:tab/>
      </w:r>
      <w:r>
        <w:rPr>
          <w:rFonts w:asciiTheme="minorHAnsi" w:hAnsiTheme="minorHAnsi" w:cstheme="minorHAnsi"/>
          <w:sz w:val="20"/>
          <w:szCs w:val="20"/>
        </w:rPr>
        <w:t xml:space="preserve"> 35</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10.7.1.1. CTA situés en Région wallonne </w:t>
      </w:r>
      <w:r>
        <w:rPr>
          <w:rFonts w:asciiTheme="minorHAnsi" w:hAnsiTheme="minorHAnsi" w:cstheme="minorHAnsi"/>
          <w:i/>
          <w:sz w:val="12"/>
          <w:szCs w:val="12"/>
        </w:rPr>
        <w:tab/>
      </w:r>
      <w:r>
        <w:rPr>
          <w:rFonts w:asciiTheme="minorHAnsi" w:hAnsiTheme="minorHAnsi" w:cstheme="minorHAnsi"/>
          <w:sz w:val="20"/>
          <w:szCs w:val="20"/>
        </w:rPr>
        <w:t xml:space="preserve"> 35</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10.7.1.2. En Région de Bruxelles-Capitale </w:t>
      </w:r>
      <w:r>
        <w:rPr>
          <w:rFonts w:asciiTheme="minorHAnsi" w:hAnsiTheme="minorHAnsi" w:cstheme="minorHAnsi"/>
          <w:i/>
          <w:sz w:val="12"/>
          <w:szCs w:val="12"/>
        </w:rPr>
        <w:tab/>
      </w:r>
      <w:r>
        <w:rPr>
          <w:rFonts w:asciiTheme="minorHAnsi" w:hAnsiTheme="minorHAnsi" w:cstheme="minorHAnsi"/>
          <w:sz w:val="20"/>
          <w:szCs w:val="20"/>
        </w:rPr>
        <w:t xml:space="preserve"> 36</w:t>
      </w:r>
    </w:p>
    <w:p>
      <w:pPr>
        <w:tabs>
          <w:tab w:val="right" w:leader="dot" w:pos="9070"/>
        </w:tabs>
        <w:spacing w:after="120"/>
        <w:ind w:left="567"/>
        <w:rPr>
          <w:rFonts w:asciiTheme="minorHAnsi" w:hAnsiTheme="minorHAnsi" w:cstheme="minorHAnsi"/>
          <w:sz w:val="20"/>
          <w:szCs w:val="20"/>
        </w:rPr>
      </w:pPr>
      <w:r>
        <w:rPr>
          <w:rFonts w:asciiTheme="minorHAnsi" w:hAnsiTheme="minorHAnsi" w:cstheme="minorHAnsi"/>
          <w:sz w:val="20"/>
          <w:szCs w:val="20"/>
        </w:rPr>
        <w:t>10.7.2. Pour tout équipement acquis après le 1</w:t>
      </w:r>
      <w:r>
        <w:rPr>
          <w:rFonts w:asciiTheme="minorHAnsi" w:hAnsiTheme="minorHAnsi" w:cstheme="minorHAnsi"/>
          <w:sz w:val="20"/>
          <w:szCs w:val="20"/>
          <w:vertAlign w:val="superscript"/>
        </w:rPr>
        <w:t>er</w:t>
      </w:r>
      <w:r>
        <w:rPr>
          <w:rFonts w:asciiTheme="minorHAnsi" w:hAnsiTheme="minorHAnsi" w:cstheme="minorHAnsi"/>
          <w:sz w:val="20"/>
          <w:szCs w:val="20"/>
        </w:rPr>
        <w:t xml:space="preserve"> janvier 2014 </w:t>
      </w:r>
      <w:r>
        <w:rPr>
          <w:rFonts w:asciiTheme="minorHAnsi" w:hAnsiTheme="minorHAnsi" w:cstheme="minorHAnsi"/>
          <w:sz w:val="12"/>
          <w:szCs w:val="12"/>
        </w:rPr>
        <w:tab/>
      </w:r>
      <w:r>
        <w:rPr>
          <w:rFonts w:asciiTheme="minorHAnsi" w:hAnsiTheme="minorHAnsi" w:cstheme="minorHAnsi"/>
          <w:sz w:val="20"/>
          <w:szCs w:val="20"/>
        </w:rPr>
        <w:t xml:space="preserve"> 36</w:t>
      </w:r>
    </w:p>
    <w:p>
      <w:pPr>
        <w:tabs>
          <w:tab w:val="right" w:leader="dot" w:pos="9070"/>
        </w:tabs>
        <w:spacing w:after="120"/>
        <w:ind w:left="567"/>
        <w:rPr>
          <w:rFonts w:asciiTheme="minorHAnsi" w:hAnsiTheme="minorHAnsi" w:cstheme="minorHAnsi"/>
          <w:sz w:val="20"/>
          <w:szCs w:val="20"/>
        </w:rPr>
      </w:pPr>
      <w:r>
        <w:rPr>
          <w:rFonts w:asciiTheme="minorHAnsi" w:hAnsiTheme="minorHAnsi" w:cstheme="minorHAnsi"/>
          <w:sz w:val="20"/>
          <w:szCs w:val="20"/>
        </w:rPr>
        <w:t xml:space="preserve">10.7.3. Obligations liées au déclassement de matériel CTA </w:t>
      </w:r>
      <w:r>
        <w:rPr>
          <w:rFonts w:asciiTheme="minorHAnsi" w:hAnsiTheme="minorHAnsi" w:cstheme="minorHAnsi"/>
          <w:sz w:val="12"/>
          <w:szCs w:val="12"/>
        </w:rPr>
        <w:tab/>
      </w:r>
      <w:r>
        <w:rPr>
          <w:rFonts w:asciiTheme="minorHAnsi" w:hAnsiTheme="minorHAnsi" w:cstheme="minorHAnsi"/>
          <w:sz w:val="20"/>
          <w:szCs w:val="20"/>
        </w:rPr>
        <w:t xml:space="preserve"> 36</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10.8. Analyse des risques pour les équipements proposés </w:t>
      </w:r>
      <w:r>
        <w:rPr>
          <w:rFonts w:asciiTheme="minorHAnsi" w:hAnsiTheme="minorHAnsi" w:cstheme="minorHAnsi"/>
          <w:sz w:val="12"/>
          <w:szCs w:val="12"/>
        </w:rPr>
        <w:tab/>
      </w:r>
      <w:r>
        <w:rPr>
          <w:rFonts w:asciiTheme="minorHAnsi" w:hAnsiTheme="minorHAnsi" w:cstheme="minorHAnsi"/>
          <w:sz w:val="20"/>
          <w:szCs w:val="20"/>
        </w:rPr>
        <w:t xml:space="preserve"> 36</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10.9. Inventaire des équipements </w:t>
      </w:r>
      <w:r>
        <w:rPr>
          <w:rFonts w:asciiTheme="minorHAnsi" w:hAnsiTheme="minorHAnsi" w:cstheme="minorHAnsi"/>
          <w:sz w:val="12"/>
          <w:szCs w:val="12"/>
        </w:rPr>
        <w:tab/>
      </w:r>
      <w:r>
        <w:rPr>
          <w:rFonts w:asciiTheme="minorHAnsi" w:hAnsiTheme="minorHAnsi" w:cstheme="minorHAnsi"/>
          <w:sz w:val="20"/>
          <w:szCs w:val="20"/>
        </w:rPr>
        <w:t xml:space="preserve"> 36</w:t>
      </w:r>
    </w:p>
    <w:p>
      <w:pPr>
        <w:tabs>
          <w:tab w:val="right" w:leader="dot" w:pos="9070"/>
        </w:tabs>
        <w:spacing w:after="120"/>
        <w:rPr>
          <w:rFonts w:asciiTheme="minorHAnsi" w:hAnsiTheme="minorHAnsi" w:cstheme="minorHAnsi"/>
          <w:b/>
        </w:rPr>
      </w:pPr>
      <w:r>
        <w:rPr>
          <w:rFonts w:asciiTheme="minorHAnsi" w:hAnsiTheme="minorHAnsi" w:cstheme="minorHAnsi"/>
          <w:b/>
        </w:rPr>
        <w:t xml:space="preserve">11. Obligations de publicité </w:t>
      </w:r>
      <w:r>
        <w:rPr>
          <w:rFonts w:asciiTheme="minorHAnsi" w:hAnsiTheme="minorHAnsi" w:cstheme="minorHAnsi"/>
          <w:sz w:val="12"/>
          <w:szCs w:val="12"/>
        </w:rPr>
        <w:tab/>
      </w:r>
      <w:r>
        <w:rPr>
          <w:rFonts w:asciiTheme="minorHAnsi" w:hAnsiTheme="minorHAnsi" w:cstheme="minorHAnsi"/>
          <w:b/>
        </w:rPr>
        <w:t xml:space="preserve"> 37</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11.1. Visibilité des CTA </w:t>
      </w:r>
      <w:r>
        <w:rPr>
          <w:rFonts w:asciiTheme="minorHAnsi" w:hAnsiTheme="minorHAnsi" w:cstheme="minorHAnsi"/>
          <w:sz w:val="12"/>
          <w:szCs w:val="12"/>
        </w:rPr>
        <w:tab/>
      </w:r>
      <w:r>
        <w:rPr>
          <w:rFonts w:asciiTheme="minorHAnsi" w:hAnsiTheme="minorHAnsi" w:cstheme="minorHAnsi"/>
          <w:sz w:val="20"/>
          <w:szCs w:val="20"/>
        </w:rPr>
        <w:t xml:space="preserve"> 37</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11.2. Mise à disposition du matériel de communication </w:t>
      </w:r>
      <w:r>
        <w:rPr>
          <w:rFonts w:asciiTheme="minorHAnsi" w:hAnsiTheme="minorHAnsi" w:cstheme="minorHAnsi"/>
          <w:sz w:val="12"/>
          <w:szCs w:val="12"/>
        </w:rPr>
        <w:tab/>
      </w:r>
      <w:r>
        <w:rPr>
          <w:rFonts w:asciiTheme="minorHAnsi" w:hAnsiTheme="minorHAnsi" w:cstheme="minorHAnsi"/>
          <w:sz w:val="20"/>
          <w:szCs w:val="20"/>
        </w:rPr>
        <w:t xml:space="preserve"> 37</w:t>
      </w:r>
    </w:p>
    <w:p>
      <w:pPr>
        <w:tabs>
          <w:tab w:val="right" w:leader="dot" w:pos="9070"/>
        </w:tabs>
        <w:spacing w:after="120"/>
        <w:rPr>
          <w:rFonts w:asciiTheme="minorHAnsi" w:hAnsiTheme="minorHAnsi" w:cstheme="minorHAnsi"/>
          <w:sz w:val="20"/>
          <w:szCs w:val="20"/>
        </w:rPr>
      </w:pPr>
      <w:r>
        <w:rPr>
          <w:rFonts w:asciiTheme="minorHAnsi" w:hAnsiTheme="minorHAnsi" w:cstheme="minorHAnsi"/>
          <w:sz w:val="20"/>
          <w:szCs w:val="20"/>
        </w:rPr>
        <w:t xml:space="preserve">11.3. Cofinancement européen </w:t>
      </w:r>
      <w:r>
        <w:rPr>
          <w:rFonts w:asciiTheme="minorHAnsi" w:hAnsiTheme="minorHAnsi" w:cstheme="minorHAnsi"/>
          <w:sz w:val="12"/>
          <w:szCs w:val="12"/>
        </w:rPr>
        <w:tab/>
      </w:r>
      <w:r>
        <w:rPr>
          <w:rFonts w:asciiTheme="minorHAnsi" w:hAnsiTheme="minorHAnsi" w:cstheme="minorHAnsi"/>
          <w:sz w:val="20"/>
          <w:szCs w:val="20"/>
        </w:rPr>
        <w:t xml:space="preserve"> 38</w:t>
      </w:r>
    </w:p>
    <w:p>
      <w:pPr>
        <w:tabs>
          <w:tab w:val="right" w:leader="dot" w:pos="9070"/>
        </w:tabs>
        <w:spacing w:after="120"/>
        <w:ind w:left="567"/>
        <w:rPr>
          <w:rFonts w:asciiTheme="minorHAnsi" w:hAnsiTheme="minorHAnsi" w:cstheme="minorHAnsi"/>
          <w:sz w:val="20"/>
          <w:szCs w:val="20"/>
        </w:rPr>
      </w:pPr>
      <w:r>
        <w:rPr>
          <w:rFonts w:asciiTheme="minorHAnsi" w:hAnsiTheme="minorHAnsi" w:cstheme="minorHAnsi"/>
          <w:sz w:val="20"/>
          <w:szCs w:val="20"/>
        </w:rPr>
        <w:t xml:space="preserve">11.3.1. En Région wallonne </w:t>
      </w:r>
      <w:r>
        <w:rPr>
          <w:rFonts w:asciiTheme="minorHAnsi" w:hAnsiTheme="minorHAnsi" w:cstheme="minorHAnsi"/>
          <w:sz w:val="12"/>
          <w:szCs w:val="12"/>
        </w:rPr>
        <w:tab/>
      </w:r>
      <w:r>
        <w:rPr>
          <w:rFonts w:asciiTheme="minorHAnsi" w:hAnsiTheme="minorHAnsi" w:cstheme="minorHAnsi"/>
          <w:sz w:val="20"/>
          <w:szCs w:val="20"/>
        </w:rPr>
        <w:t xml:space="preserve"> 38</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11.3.1.1. Mentions obligatoires </w:t>
      </w:r>
      <w:r>
        <w:rPr>
          <w:rFonts w:asciiTheme="minorHAnsi" w:hAnsiTheme="minorHAnsi" w:cstheme="minorHAnsi"/>
          <w:i/>
          <w:sz w:val="12"/>
          <w:szCs w:val="12"/>
        </w:rPr>
        <w:tab/>
      </w:r>
      <w:r>
        <w:rPr>
          <w:rFonts w:asciiTheme="minorHAnsi" w:hAnsiTheme="minorHAnsi" w:cstheme="minorHAnsi"/>
          <w:sz w:val="20"/>
          <w:szCs w:val="20"/>
        </w:rPr>
        <w:t xml:space="preserve"> 38</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11.3.1.2. Supports de communication </w:t>
      </w:r>
      <w:r>
        <w:rPr>
          <w:rFonts w:asciiTheme="minorHAnsi" w:hAnsiTheme="minorHAnsi" w:cstheme="minorHAnsi"/>
          <w:i/>
          <w:sz w:val="12"/>
          <w:szCs w:val="12"/>
        </w:rPr>
        <w:tab/>
      </w:r>
      <w:r>
        <w:rPr>
          <w:rFonts w:asciiTheme="minorHAnsi" w:hAnsiTheme="minorHAnsi" w:cstheme="minorHAnsi"/>
          <w:sz w:val="20"/>
          <w:szCs w:val="20"/>
        </w:rPr>
        <w:t xml:space="preserve"> 39</w:t>
      </w:r>
    </w:p>
    <w:p>
      <w:pPr>
        <w:tabs>
          <w:tab w:val="right" w:leader="dot" w:pos="9070"/>
        </w:tabs>
        <w:spacing w:after="120"/>
        <w:ind w:left="567"/>
        <w:rPr>
          <w:rFonts w:asciiTheme="minorHAnsi" w:hAnsiTheme="minorHAnsi" w:cstheme="minorHAnsi"/>
          <w:sz w:val="20"/>
          <w:szCs w:val="20"/>
        </w:rPr>
      </w:pPr>
      <w:r>
        <w:rPr>
          <w:rFonts w:asciiTheme="minorHAnsi" w:hAnsiTheme="minorHAnsi" w:cstheme="minorHAnsi"/>
          <w:sz w:val="20"/>
          <w:szCs w:val="20"/>
        </w:rPr>
        <w:t xml:space="preserve">11.3.2. En Région de Bruxelles-Capitale </w:t>
      </w:r>
      <w:r>
        <w:rPr>
          <w:rFonts w:asciiTheme="minorHAnsi" w:hAnsiTheme="minorHAnsi" w:cstheme="minorHAnsi"/>
          <w:sz w:val="12"/>
          <w:szCs w:val="12"/>
        </w:rPr>
        <w:tab/>
      </w:r>
      <w:r>
        <w:rPr>
          <w:rFonts w:asciiTheme="minorHAnsi" w:hAnsiTheme="minorHAnsi" w:cstheme="minorHAnsi"/>
          <w:sz w:val="20"/>
          <w:szCs w:val="20"/>
        </w:rPr>
        <w:t xml:space="preserve"> 40</w:t>
      </w:r>
    </w:p>
    <w:p>
      <w:pPr>
        <w:tabs>
          <w:tab w:val="right" w:leader="dot" w:pos="9070"/>
        </w:tabs>
        <w:spacing w:after="120"/>
        <w:ind w:left="1134"/>
        <w:rPr>
          <w:rFonts w:asciiTheme="minorHAnsi" w:hAnsiTheme="minorHAnsi" w:cstheme="minorHAnsi"/>
          <w:sz w:val="20"/>
          <w:szCs w:val="20"/>
        </w:rPr>
      </w:pPr>
      <w:r>
        <w:rPr>
          <w:rFonts w:asciiTheme="minorHAnsi" w:hAnsiTheme="minorHAnsi" w:cstheme="minorHAnsi"/>
          <w:i/>
          <w:sz w:val="20"/>
          <w:szCs w:val="20"/>
        </w:rPr>
        <w:t xml:space="preserve">11.3.2.1. Mentions obligatoires </w:t>
      </w:r>
      <w:r>
        <w:rPr>
          <w:rFonts w:asciiTheme="minorHAnsi" w:hAnsiTheme="minorHAnsi" w:cstheme="minorHAnsi"/>
          <w:i/>
          <w:sz w:val="12"/>
          <w:szCs w:val="12"/>
        </w:rPr>
        <w:tab/>
      </w:r>
      <w:r>
        <w:rPr>
          <w:rFonts w:asciiTheme="minorHAnsi" w:hAnsiTheme="minorHAnsi" w:cstheme="minorHAnsi"/>
          <w:sz w:val="20"/>
          <w:szCs w:val="20"/>
        </w:rPr>
        <w:t xml:space="preserve"> 40</w:t>
      </w:r>
    </w:p>
    <w:p>
      <w:pPr>
        <w:tabs>
          <w:tab w:val="right" w:leader="dot" w:pos="9070"/>
        </w:tabs>
        <w:spacing w:after="120"/>
        <w:ind w:left="1134"/>
        <w:rPr>
          <w:rFonts w:asciiTheme="minorHAnsi" w:hAnsiTheme="minorHAnsi" w:cstheme="minorHAnsi"/>
          <w:spacing w:val="-4"/>
          <w:sz w:val="22"/>
          <w:szCs w:val="22"/>
        </w:rPr>
      </w:pPr>
      <w:r>
        <w:rPr>
          <w:rFonts w:asciiTheme="minorHAnsi" w:hAnsiTheme="minorHAnsi" w:cstheme="minorHAnsi"/>
          <w:i/>
          <w:sz w:val="20"/>
          <w:szCs w:val="20"/>
        </w:rPr>
        <w:t xml:space="preserve">11.3.2.2. Supports de communication </w:t>
      </w:r>
      <w:r>
        <w:rPr>
          <w:rFonts w:asciiTheme="minorHAnsi" w:hAnsiTheme="minorHAnsi" w:cstheme="minorHAnsi"/>
          <w:i/>
          <w:sz w:val="12"/>
          <w:szCs w:val="12"/>
        </w:rPr>
        <w:tab/>
      </w:r>
      <w:r>
        <w:rPr>
          <w:rFonts w:asciiTheme="minorHAnsi" w:hAnsiTheme="minorHAnsi" w:cstheme="minorHAnsi"/>
          <w:spacing w:val="-4"/>
          <w:sz w:val="20"/>
          <w:szCs w:val="20"/>
        </w:rPr>
        <w:t xml:space="preserve"> 40</w:t>
      </w:r>
    </w:p>
    <w:p>
      <w:pPr>
        <w:tabs>
          <w:tab w:val="right" w:leader="dot" w:pos="9070"/>
        </w:tabs>
        <w:spacing w:after="120"/>
        <w:rPr>
          <w:rFonts w:asciiTheme="minorHAnsi" w:hAnsiTheme="minorHAnsi" w:cstheme="minorHAnsi"/>
          <w:b/>
        </w:rPr>
      </w:pPr>
      <w:r>
        <w:rPr>
          <w:rFonts w:asciiTheme="minorHAnsi" w:hAnsiTheme="minorHAnsi" w:cstheme="minorHAnsi"/>
          <w:b/>
          <w:spacing w:val="-4"/>
        </w:rPr>
        <w:t>12. Journées d’information et de formation à l’encodage destinées aux nouveaux coordonnateurs</w:t>
      </w:r>
      <w:r>
        <w:rPr>
          <w:rFonts w:asciiTheme="minorHAnsi" w:hAnsiTheme="minorHAnsi" w:cstheme="minorHAnsi"/>
          <w:b/>
        </w:rPr>
        <w:t xml:space="preserve"> </w:t>
      </w:r>
      <w:r>
        <w:rPr>
          <w:rFonts w:asciiTheme="minorHAnsi" w:hAnsiTheme="minorHAnsi" w:cstheme="minorHAnsi"/>
          <w:sz w:val="12"/>
          <w:szCs w:val="12"/>
        </w:rPr>
        <w:tab/>
      </w:r>
      <w:r>
        <w:rPr>
          <w:rFonts w:asciiTheme="minorHAnsi" w:hAnsiTheme="minorHAnsi" w:cstheme="minorHAnsi"/>
          <w:b/>
        </w:rPr>
        <w:t xml:space="preserve"> 40</w:t>
      </w:r>
    </w:p>
    <w:p>
      <w:pPr>
        <w:tabs>
          <w:tab w:val="right" w:leader="dot" w:pos="9070"/>
        </w:tabs>
        <w:spacing w:after="120"/>
        <w:rPr>
          <w:rFonts w:asciiTheme="minorHAnsi" w:hAnsiTheme="minorHAnsi" w:cstheme="minorHAnsi"/>
          <w:b/>
        </w:rPr>
      </w:pPr>
      <w:r>
        <w:rPr>
          <w:rFonts w:asciiTheme="minorHAnsi" w:hAnsiTheme="minorHAnsi" w:cstheme="minorHAnsi"/>
          <w:b/>
        </w:rPr>
        <w:t xml:space="preserve">13. Evaluation et pilotage </w:t>
      </w:r>
      <w:r>
        <w:rPr>
          <w:rFonts w:asciiTheme="minorHAnsi" w:hAnsiTheme="minorHAnsi" w:cstheme="minorHAnsi"/>
          <w:sz w:val="12"/>
          <w:szCs w:val="12"/>
        </w:rPr>
        <w:tab/>
      </w:r>
      <w:r>
        <w:rPr>
          <w:rFonts w:asciiTheme="minorHAnsi" w:hAnsiTheme="minorHAnsi" w:cstheme="minorHAnsi"/>
          <w:b/>
        </w:rPr>
        <w:t xml:space="preserve"> 41</w:t>
      </w:r>
    </w:p>
    <w:p>
      <w:pPr>
        <w:tabs>
          <w:tab w:val="right" w:leader="dot" w:pos="9070"/>
        </w:tabs>
        <w:spacing w:after="120"/>
        <w:rPr>
          <w:rFonts w:asciiTheme="minorHAnsi" w:hAnsiTheme="minorHAnsi" w:cstheme="minorHAnsi"/>
          <w:b/>
        </w:rPr>
      </w:pPr>
      <w:r>
        <w:rPr>
          <w:rFonts w:asciiTheme="minorHAnsi" w:hAnsiTheme="minorHAnsi" w:cstheme="minorHAnsi"/>
          <w:b/>
        </w:rPr>
        <w:t xml:space="preserve">14. Planning prévisionnel </w:t>
      </w:r>
      <w:r>
        <w:rPr>
          <w:rFonts w:asciiTheme="minorHAnsi" w:hAnsiTheme="minorHAnsi" w:cstheme="minorHAnsi"/>
          <w:sz w:val="12"/>
          <w:szCs w:val="12"/>
        </w:rPr>
        <w:tab/>
      </w:r>
      <w:r>
        <w:rPr>
          <w:rFonts w:asciiTheme="minorHAnsi" w:hAnsiTheme="minorHAnsi" w:cstheme="minorHAnsi"/>
          <w:b/>
        </w:rPr>
        <w:t xml:space="preserve"> 41</w:t>
      </w:r>
    </w:p>
    <w:p>
      <w:pPr>
        <w:tabs>
          <w:tab w:val="right" w:leader="dot" w:pos="9070"/>
        </w:tabs>
        <w:spacing w:after="120"/>
        <w:rPr>
          <w:rFonts w:asciiTheme="minorHAnsi" w:hAnsiTheme="minorHAnsi" w:cstheme="minorHAnsi"/>
          <w:b/>
        </w:rPr>
      </w:pPr>
      <w:r>
        <w:rPr>
          <w:rFonts w:asciiTheme="minorHAnsi" w:hAnsiTheme="minorHAnsi" w:cstheme="minorHAnsi"/>
          <w:b/>
        </w:rPr>
        <w:t xml:space="preserve">15. Réseau de partage sécurisé </w:t>
      </w:r>
      <w:r>
        <w:rPr>
          <w:rFonts w:asciiTheme="minorHAnsi" w:hAnsiTheme="minorHAnsi" w:cstheme="minorHAnsi"/>
          <w:sz w:val="12"/>
          <w:szCs w:val="12"/>
        </w:rPr>
        <w:tab/>
      </w:r>
      <w:r>
        <w:rPr>
          <w:rFonts w:asciiTheme="minorHAnsi" w:hAnsiTheme="minorHAnsi" w:cstheme="minorHAnsi"/>
          <w:b/>
        </w:rPr>
        <w:t xml:space="preserve"> 41</w:t>
      </w:r>
      <w:r>
        <w:rPr>
          <w:rFonts w:asciiTheme="minorHAnsi" w:hAnsiTheme="minorHAnsi" w:cstheme="minorHAnsi"/>
          <w:b/>
        </w:rPr>
        <w:br w:type="page"/>
      </w:r>
    </w:p>
    <w:p>
      <w:pPr>
        <w:tabs>
          <w:tab w:val="right" w:leader="dot" w:pos="9070"/>
        </w:tabs>
        <w:spacing w:after="120"/>
        <w:rPr>
          <w:rFonts w:asciiTheme="minorHAnsi" w:hAnsiTheme="minorHAnsi" w:cstheme="minorHAnsi"/>
          <w:b/>
        </w:rPr>
      </w:pPr>
      <w:r>
        <w:rPr>
          <w:rFonts w:asciiTheme="minorHAnsi" w:hAnsiTheme="minorHAnsi" w:cstheme="minorHAnsi"/>
          <w:b/>
        </w:rPr>
        <w:lastRenderedPageBreak/>
        <w:t xml:space="preserve">16. Règlement général sur la protection des données personnelles </w:t>
      </w:r>
      <w:r>
        <w:rPr>
          <w:rFonts w:asciiTheme="minorHAnsi" w:hAnsiTheme="minorHAnsi" w:cstheme="minorHAnsi"/>
          <w:sz w:val="12"/>
          <w:szCs w:val="12"/>
        </w:rPr>
        <w:tab/>
      </w:r>
      <w:r>
        <w:rPr>
          <w:rFonts w:asciiTheme="minorHAnsi" w:hAnsiTheme="minorHAnsi" w:cstheme="minorHAnsi"/>
          <w:b/>
        </w:rPr>
        <w:t xml:space="preserve"> 42</w:t>
      </w:r>
    </w:p>
    <w:p>
      <w:pPr>
        <w:tabs>
          <w:tab w:val="right" w:leader="dot" w:pos="9070"/>
        </w:tabs>
        <w:spacing w:after="120"/>
        <w:rPr>
          <w:rFonts w:asciiTheme="minorHAnsi" w:hAnsiTheme="minorHAnsi" w:cstheme="minorHAnsi"/>
          <w:b/>
        </w:rPr>
      </w:pPr>
      <w:r>
        <w:rPr>
          <w:rFonts w:asciiTheme="minorHAnsi" w:hAnsiTheme="minorHAnsi" w:cstheme="minorHAnsi"/>
          <w:b/>
        </w:rPr>
        <w:t xml:space="preserve">17. Rappel des différentes échéances administratives </w:t>
      </w:r>
      <w:r>
        <w:rPr>
          <w:rFonts w:asciiTheme="minorHAnsi" w:hAnsiTheme="minorHAnsi" w:cstheme="minorHAnsi"/>
          <w:sz w:val="12"/>
          <w:szCs w:val="12"/>
        </w:rPr>
        <w:tab/>
      </w:r>
      <w:r>
        <w:rPr>
          <w:rFonts w:asciiTheme="minorHAnsi" w:hAnsiTheme="minorHAnsi" w:cstheme="minorHAnsi"/>
          <w:b/>
        </w:rPr>
        <w:t xml:space="preserve"> 42</w:t>
      </w:r>
    </w:p>
    <w:p>
      <w:pPr>
        <w:tabs>
          <w:tab w:val="right" w:leader="dot" w:pos="9070"/>
        </w:tabs>
        <w:spacing w:after="120"/>
        <w:rPr>
          <w:rFonts w:asciiTheme="minorHAnsi" w:hAnsiTheme="minorHAnsi" w:cstheme="minorHAnsi"/>
          <w:b/>
        </w:rPr>
      </w:pPr>
      <w:r>
        <w:rPr>
          <w:rFonts w:asciiTheme="minorHAnsi" w:hAnsiTheme="minorHAnsi" w:cstheme="minorHAnsi"/>
          <w:b/>
        </w:rPr>
        <w:t xml:space="preserve">18. Bases réglementaires </w:t>
      </w:r>
      <w:r>
        <w:rPr>
          <w:rFonts w:asciiTheme="minorHAnsi" w:hAnsiTheme="minorHAnsi" w:cstheme="minorHAnsi"/>
          <w:sz w:val="12"/>
          <w:szCs w:val="12"/>
        </w:rPr>
        <w:tab/>
      </w:r>
      <w:r>
        <w:rPr>
          <w:rFonts w:asciiTheme="minorHAnsi" w:hAnsiTheme="minorHAnsi" w:cstheme="minorHAnsi"/>
          <w:b/>
        </w:rPr>
        <w:t xml:space="preserve"> 43</w:t>
      </w:r>
    </w:p>
    <w:p>
      <w:pPr>
        <w:tabs>
          <w:tab w:val="right" w:leader="dot" w:pos="9070"/>
        </w:tabs>
        <w:spacing w:after="120"/>
        <w:rPr>
          <w:rFonts w:asciiTheme="minorHAnsi" w:hAnsiTheme="minorHAnsi" w:cstheme="minorHAnsi"/>
          <w:b/>
          <w:caps/>
        </w:rPr>
      </w:pPr>
      <w:r>
        <w:rPr>
          <w:rFonts w:asciiTheme="minorHAnsi" w:hAnsiTheme="minorHAnsi" w:cstheme="minorHAnsi"/>
          <w:b/>
          <w:caps/>
        </w:rPr>
        <w:t xml:space="preserve">Annexes </w:t>
      </w:r>
    </w:p>
    <w:p>
      <w:pPr>
        <w:tabs>
          <w:tab w:val="right" w:leader="dot" w:pos="9070"/>
        </w:tabs>
        <w:spacing w:after="120"/>
        <w:rPr>
          <w:rFonts w:asciiTheme="minorHAnsi" w:hAnsiTheme="minorHAnsi" w:cstheme="minorHAnsi"/>
          <w:sz w:val="20"/>
          <w:szCs w:val="20"/>
        </w:rPr>
      </w:pPr>
      <w:r>
        <w:rPr>
          <w:rFonts w:asciiTheme="minorHAnsi" w:hAnsiTheme="minorHAnsi" w:cstheme="minorHAnsi"/>
          <w:b/>
          <w:sz w:val="20"/>
          <w:szCs w:val="20"/>
        </w:rPr>
        <w:t>Annexe 1</w:t>
      </w:r>
      <w:r>
        <w:rPr>
          <w:rFonts w:asciiTheme="minorHAnsi" w:hAnsiTheme="minorHAnsi" w:cstheme="minorHAnsi"/>
          <w:sz w:val="20"/>
          <w:szCs w:val="20"/>
        </w:rPr>
        <w:t xml:space="preserve"> – Modèle de Règlement d’ordre intérieur du COMAC </w:t>
      </w:r>
      <w:r>
        <w:rPr>
          <w:rFonts w:asciiTheme="minorHAnsi" w:hAnsiTheme="minorHAnsi" w:cstheme="minorHAnsi"/>
          <w:sz w:val="12"/>
          <w:szCs w:val="12"/>
        </w:rPr>
        <w:tab/>
      </w:r>
      <w:r>
        <w:rPr>
          <w:rFonts w:asciiTheme="minorHAnsi" w:hAnsiTheme="minorHAnsi" w:cstheme="minorHAnsi"/>
          <w:sz w:val="20"/>
          <w:szCs w:val="20"/>
        </w:rPr>
        <w:t xml:space="preserve"> 44</w:t>
      </w:r>
    </w:p>
    <w:p>
      <w:pPr>
        <w:tabs>
          <w:tab w:val="right" w:leader="dot" w:pos="9070"/>
        </w:tabs>
        <w:spacing w:after="120"/>
        <w:rPr>
          <w:rFonts w:asciiTheme="minorHAnsi" w:hAnsiTheme="minorHAnsi" w:cstheme="minorHAnsi"/>
          <w:sz w:val="20"/>
          <w:szCs w:val="20"/>
        </w:rPr>
      </w:pPr>
      <w:r>
        <w:rPr>
          <w:rFonts w:asciiTheme="minorHAnsi" w:hAnsiTheme="minorHAnsi" w:cstheme="minorHAnsi"/>
          <w:b/>
          <w:sz w:val="20"/>
          <w:szCs w:val="20"/>
        </w:rPr>
        <w:t>Annexe 2</w:t>
      </w:r>
      <w:r>
        <w:rPr>
          <w:rFonts w:asciiTheme="minorHAnsi" w:hAnsiTheme="minorHAnsi" w:cstheme="minorHAnsi"/>
          <w:sz w:val="20"/>
          <w:szCs w:val="20"/>
        </w:rPr>
        <w:t xml:space="preserve"> – Modèle de Règlement d’ordre intérieur du CTA </w:t>
      </w:r>
      <w:r>
        <w:rPr>
          <w:rFonts w:asciiTheme="minorHAnsi" w:hAnsiTheme="minorHAnsi" w:cstheme="minorHAnsi"/>
          <w:sz w:val="12"/>
          <w:szCs w:val="12"/>
        </w:rPr>
        <w:tab/>
      </w:r>
      <w:r>
        <w:rPr>
          <w:rFonts w:asciiTheme="minorHAnsi" w:hAnsiTheme="minorHAnsi" w:cstheme="minorHAnsi"/>
          <w:sz w:val="20"/>
          <w:szCs w:val="20"/>
        </w:rPr>
        <w:t xml:space="preserve"> 48</w:t>
      </w:r>
    </w:p>
    <w:p>
      <w:pPr>
        <w:tabs>
          <w:tab w:val="right" w:leader="dot" w:pos="9070"/>
        </w:tabs>
        <w:spacing w:after="120"/>
        <w:rPr>
          <w:rFonts w:asciiTheme="minorHAnsi" w:hAnsiTheme="minorHAnsi" w:cstheme="minorHAnsi"/>
          <w:sz w:val="20"/>
          <w:szCs w:val="20"/>
        </w:rPr>
      </w:pPr>
      <w:r>
        <w:rPr>
          <w:rFonts w:asciiTheme="minorHAnsi" w:hAnsiTheme="minorHAnsi" w:cstheme="minorHAnsi"/>
          <w:b/>
          <w:sz w:val="20"/>
          <w:szCs w:val="20"/>
        </w:rPr>
        <w:t>Annexe 3</w:t>
      </w:r>
      <w:r>
        <w:rPr>
          <w:rFonts w:asciiTheme="minorHAnsi" w:hAnsiTheme="minorHAnsi" w:cstheme="minorHAnsi"/>
          <w:sz w:val="20"/>
          <w:szCs w:val="20"/>
        </w:rPr>
        <w:t xml:space="preserve"> – Modèle de convention bilatérale générale et spécifique pour les opérateurs-utilisateur issus de l’enseignement obligatoire </w:t>
      </w:r>
      <w:r>
        <w:rPr>
          <w:rFonts w:asciiTheme="minorHAnsi" w:hAnsiTheme="minorHAnsi" w:cstheme="minorHAnsi"/>
          <w:sz w:val="12"/>
          <w:szCs w:val="12"/>
        </w:rPr>
        <w:tab/>
      </w:r>
      <w:r>
        <w:rPr>
          <w:rFonts w:asciiTheme="minorHAnsi" w:hAnsiTheme="minorHAnsi" w:cstheme="minorHAnsi"/>
          <w:sz w:val="20"/>
          <w:szCs w:val="20"/>
        </w:rPr>
        <w:t xml:space="preserve"> 51</w:t>
      </w:r>
    </w:p>
    <w:p>
      <w:pPr>
        <w:tabs>
          <w:tab w:val="right" w:leader="dot" w:pos="9070"/>
        </w:tabs>
        <w:spacing w:after="120"/>
        <w:rPr>
          <w:rFonts w:asciiTheme="minorHAnsi" w:hAnsiTheme="minorHAnsi" w:cstheme="minorHAnsi"/>
          <w:sz w:val="20"/>
          <w:szCs w:val="20"/>
        </w:rPr>
      </w:pPr>
      <w:r>
        <w:rPr>
          <w:rFonts w:asciiTheme="minorHAnsi" w:hAnsiTheme="minorHAnsi" w:cstheme="minorHAnsi"/>
          <w:b/>
          <w:sz w:val="20"/>
          <w:szCs w:val="20"/>
        </w:rPr>
        <w:t>Annexe 4</w:t>
      </w:r>
      <w:r>
        <w:rPr>
          <w:rFonts w:asciiTheme="minorHAnsi" w:hAnsiTheme="minorHAnsi" w:cstheme="minorHAnsi"/>
          <w:sz w:val="20"/>
          <w:szCs w:val="20"/>
        </w:rPr>
        <w:t xml:space="preserve"> – Modèle de convention bilatérale générale et spécifique pour les opérateurs-utilisateur issus de l’enseignement de promotion sociale </w:t>
      </w:r>
      <w:r>
        <w:rPr>
          <w:rFonts w:asciiTheme="minorHAnsi" w:hAnsiTheme="minorHAnsi" w:cstheme="minorHAnsi"/>
          <w:sz w:val="12"/>
          <w:szCs w:val="12"/>
        </w:rPr>
        <w:tab/>
      </w:r>
      <w:r>
        <w:rPr>
          <w:rFonts w:asciiTheme="minorHAnsi" w:hAnsiTheme="minorHAnsi" w:cstheme="minorHAnsi"/>
          <w:sz w:val="20"/>
          <w:szCs w:val="20"/>
        </w:rPr>
        <w:t xml:space="preserve"> 59</w:t>
      </w:r>
    </w:p>
    <w:p>
      <w:pPr>
        <w:tabs>
          <w:tab w:val="right" w:leader="dot" w:pos="9070"/>
        </w:tabs>
        <w:spacing w:after="120"/>
        <w:rPr>
          <w:rFonts w:asciiTheme="minorHAnsi" w:hAnsiTheme="minorHAnsi" w:cstheme="minorHAnsi"/>
          <w:sz w:val="20"/>
          <w:szCs w:val="20"/>
        </w:rPr>
      </w:pPr>
      <w:r>
        <w:rPr>
          <w:rFonts w:asciiTheme="minorHAnsi" w:hAnsiTheme="minorHAnsi" w:cstheme="minorHAnsi"/>
          <w:b/>
          <w:sz w:val="20"/>
          <w:szCs w:val="20"/>
        </w:rPr>
        <w:t>Annexe 5</w:t>
      </w:r>
      <w:r>
        <w:rPr>
          <w:rFonts w:asciiTheme="minorHAnsi" w:hAnsiTheme="minorHAnsi" w:cstheme="minorHAnsi"/>
          <w:sz w:val="20"/>
          <w:szCs w:val="20"/>
        </w:rPr>
        <w:t xml:space="preserve"> – Modèle de convention bilatérale générale et spécifique pour les opérateurs-utilisateur issus de l’enseignement supérieur </w:t>
      </w:r>
      <w:r>
        <w:rPr>
          <w:rFonts w:asciiTheme="minorHAnsi" w:hAnsiTheme="minorHAnsi" w:cstheme="minorHAnsi"/>
          <w:sz w:val="12"/>
          <w:szCs w:val="12"/>
        </w:rPr>
        <w:tab/>
      </w:r>
      <w:r>
        <w:rPr>
          <w:rFonts w:asciiTheme="minorHAnsi" w:hAnsiTheme="minorHAnsi" w:cstheme="minorHAnsi"/>
          <w:sz w:val="20"/>
          <w:szCs w:val="20"/>
        </w:rPr>
        <w:t xml:space="preserve"> 67</w:t>
      </w:r>
    </w:p>
    <w:p>
      <w:pPr>
        <w:tabs>
          <w:tab w:val="right" w:leader="dot" w:pos="9070"/>
        </w:tabs>
        <w:spacing w:after="120"/>
        <w:rPr>
          <w:rFonts w:asciiTheme="minorHAnsi" w:hAnsiTheme="minorHAnsi" w:cstheme="minorHAnsi"/>
          <w:sz w:val="20"/>
          <w:szCs w:val="20"/>
        </w:rPr>
      </w:pPr>
      <w:r>
        <w:rPr>
          <w:rFonts w:asciiTheme="minorHAnsi" w:hAnsiTheme="minorHAnsi" w:cstheme="minorHAnsi"/>
          <w:b/>
          <w:spacing w:val="-4"/>
          <w:sz w:val="20"/>
          <w:szCs w:val="20"/>
        </w:rPr>
        <w:t>Annexe 6</w:t>
      </w:r>
      <w:r>
        <w:rPr>
          <w:rFonts w:asciiTheme="minorHAnsi" w:hAnsiTheme="minorHAnsi" w:cstheme="minorHAnsi"/>
          <w:spacing w:val="-4"/>
          <w:sz w:val="20"/>
          <w:szCs w:val="20"/>
        </w:rPr>
        <w:t xml:space="preserve"> – Modèle de convention bilatérale générale et spécifique pour les autres opérateurs-utilisateur</w:t>
      </w:r>
      <w:r>
        <w:rPr>
          <w:rFonts w:asciiTheme="minorHAnsi" w:hAnsiTheme="minorHAnsi" w:cstheme="minorHAnsi"/>
          <w:sz w:val="20"/>
          <w:szCs w:val="20"/>
        </w:rPr>
        <w:t xml:space="preserve"> </w:t>
      </w:r>
      <w:r>
        <w:rPr>
          <w:rFonts w:asciiTheme="minorHAnsi" w:hAnsiTheme="minorHAnsi" w:cstheme="minorHAnsi"/>
          <w:sz w:val="12"/>
          <w:szCs w:val="12"/>
        </w:rPr>
        <w:tab/>
      </w:r>
      <w:r>
        <w:rPr>
          <w:rFonts w:asciiTheme="minorHAnsi" w:hAnsiTheme="minorHAnsi" w:cstheme="minorHAnsi"/>
          <w:sz w:val="20"/>
          <w:szCs w:val="20"/>
        </w:rPr>
        <w:t xml:space="preserve"> 75</w:t>
      </w:r>
    </w:p>
    <w:p>
      <w:pPr>
        <w:tabs>
          <w:tab w:val="right" w:leader="dot" w:pos="9070"/>
        </w:tabs>
        <w:spacing w:after="120"/>
        <w:rPr>
          <w:rFonts w:asciiTheme="minorHAnsi" w:hAnsiTheme="minorHAnsi" w:cstheme="minorHAnsi"/>
          <w:sz w:val="20"/>
          <w:szCs w:val="20"/>
        </w:rPr>
      </w:pPr>
      <w:r>
        <w:rPr>
          <w:rFonts w:asciiTheme="minorHAnsi" w:hAnsiTheme="minorHAnsi" w:cstheme="minorHAnsi"/>
          <w:b/>
          <w:spacing w:val="-4"/>
          <w:sz w:val="20"/>
          <w:szCs w:val="20"/>
        </w:rPr>
        <w:t>Annexe 7</w:t>
      </w:r>
      <w:r>
        <w:rPr>
          <w:rFonts w:asciiTheme="minorHAnsi" w:hAnsiTheme="minorHAnsi" w:cstheme="minorHAnsi"/>
          <w:spacing w:val="-4"/>
          <w:sz w:val="20"/>
          <w:szCs w:val="20"/>
        </w:rPr>
        <w:t xml:space="preserve"> – Déclaration sur l’honneur pour le remboursement de frais de déplacement occasionnés lors d’une formation suivie en CTA – Déplacement en autocar de l’école </w:t>
      </w:r>
      <w:r>
        <w:rPr>
          <w:rFonts w:asciiTheme="minorHAnsi" w:hAnsiTheme="minorHAnsi" w:cstheme="minorHAnsi"/>
          <w:sz w:val="12"/>
          <w:szCs w:val="12"/>
        </w:rPr>
        <w:tab/>
      </w:r>
      <w:r>
        <w:rPr>
          <w:rFonts w:asciiTheme="minorHAnsi" w:hAnsiTheme="minorHAnsi" w:cstheme="minorHAnsi"/>
          <w:sz w:val="20"/>
          <w:szCs w:val="20"/>
        </w:rPr>
        <w:t xml:space="preserve"> 83</w:t>
      </w:r>
    </w:p>
    <w:p>
      <w:pPr>
        <w:tabs>
          <w:tab w:val="right" w:leader="dot" w:pos="9070"/>
        </w:tabs>
        <w:spacing w:after="120"/>
        <w:rPr>
          <w:rFonts w:asciiTheme="minorHAnsi" w:hAnsiTheme="minorHAnsi" w:cstheme="minorHAnsi"/>
          <w:sz w:val="20"/>
          <w:szCs w:val="20"/>
        </w:rPr>
      </w:pPr>
      <w:r>
        <w:rPr>
          <w:rFonts w:asciiTheme="minorHAnsi" w:hAnsiTheme="minorHAnsi" w:cstheme="minorHAnsi"/>
          <w:b/>
          <w:spacing w:val="-4"/>
          <w:sz w:val="20"/>
          <w:szCs w:val="20"/>
        </w:rPr>
        <w:t>Annexe 8</w:t>
      </w:r>
      <w:r>
        <w:rPr>
          <w:rFonts w:asciiTheme="minorHAnsi" w:hAnsiTheme="minorHAnsi" w:cstheme="minorHAnsi"/>
          <w:spacing w:val="-4"/>
          <w:sz w:val="20"/>
          <w:szCs w:val="20"/>
        </w:rPr>
        <w:t xml:space="preserve"> – Déclaration sur l’honneur pour le remboursement de frais de déplacement occasionnés lors d’une formation suivie en CTA – Déplacement en voiture </w:t>
      </w:r>
      <w:r>
        <w:rPr>
          <w:rFonts w:asciiTheme="minorHAnsi" w:hAnsiTheme="minorHAnsi" w:cstheme="minorHAnsi"/>
          <w:sz w:val="12"/>
          <w:szCs w:val="12"/>
        </w:rPr>
        <w:tab/>
      </w:r>
      <w:r>
        <w:rPr>
          <w:rFonts w:asciiTheme="minorHAnsi" w:hAnsiTheme="minorHAnsi" w:cstheme="minorHAnsi"/>
          <w:sz w:val="20"/>
          <w:szCs w:val="20"/>
        </w:rPr>
        <w:t xml:space="preserve"> 85</w:t>
      </w:r>
    </w:p>
    <w:p>
      <w:pPr>
        <w:tabs>
          <w:tab w:val="right" w:leader="dot" w:pos="9070"/>
        </w:tabs>
        <w:spacing w:after="120"/>
        <w:rPr>
          <w:rFonts w:asciiTheme="minorHAnsi" w:hAnsiTheme="minorHAnsi" w:cstheme="minorHAnsi"/>
          <w:sz w:val="20"/>
          <w:szCs w:val="20"/>
        </w:rPr>
      </w:pPr>
      <w:r>
        <w:rPr>
          <w:rFonts w:asciiTheme="minorHAnsi" w:hAnsiTheme="minorHAnsi" w:cstheme="minorHAnsi"/>
          <w:b/>
          <w:spacing w:val="-4"/>
          <w:sz w:val="20"/>
          <w:szCs w:val="20"/>
        </w:rPr>
        <w:t>Annexe 9</w:t>
      </w:r>
      <w:r>
        <w:rPr>
          <w:rFonts w:asciiTheme="minorHAnsi" w:hAnsiTheme="minorHAnsi" w:cstheme="minorHAnsi"/>
          <w:spacing w:val="-4"/>
          <w:sz w:val="20"/>
          <w:szCs w:val="20"/>
        </w:rPr>
        <w:t xml:space="preserve"> – Déclaration de créance pour le remboursement de frais de déplacement occasionnés lors d’une formation suivie en CTA – Location d’un véhicule </w:t>
      </w:r>
      <w:r>
        <w:rPr>
          <w:rFonts w:asciiTheme="minorHAnsi" w:hAnsiTheme="minorHAnsi" w:cstheme="minorHAnsi"/>
          <w:sz w:val="12"/>
          <w:szCs w:val="12"/>
        </w:rPr>
        <w:tab/>
      </w:r>
      <w:r>
        <w:rPr>
          <w:rFonts w:asciiTheme="minorHAnsi" w:hAnsiTheme="minorHAnsi" w:cstheme="minorHAnsi"/>
          <w:sz w:val="20"/>
          <w:szCs w:val="20"/>
        </w:rPr>
        <w:t xml:space="preserve"> 87</w:t>
      </w:r>
    </w:p>
    <w:p>
      <w:pPr>
        <w:tabs>
          <w:tab w:val="right" w:leader="dot" w:pos="9070"/>
        </w:tabs>
        <w:spacing w:after="120"/>
        <w:rPr>
          <w:rFonts w:asciiTheme="minorHAnsi" w:hAnsiTheme="minorHAnsi" w:cstheme="minorHAnsi"/>
          <w:sz w:val="20"/>
          <w:szCs w:val="20"/>
        </w:rPr>
      </w:pPr>
      <w:r>
        <w:rPr>
          <w:rFonts w:asciiTheme="minorHAnsi" w:hAnsiTheme="minorHAnsi" w:cstheme="minorHAnsi"/>
          <w:b/>
          <w:spacing w:val="-4"/>
          <w:sz w:val="20"/>
          <w:szCs w:val="20"/>
        </w:rPr>
        <w:t>Annexe 10</w:t>
      </w:r>
      <w:r>
        <w:rPr>
          <w:rFonts w:asciiTheme="minorHAnsi" w:hAnsiTheme="minorHAnsi" w:cstheme="minorHAnsi"/>
          <w:spacing w:val="-4"/>
          <w:sz w:val="20"/>
          <w:szCs w:val="20"/>
        </w:rPr>
        <w:t xml:space="preserve"> – Déclaration de créance pour le remboursement de frais de déplacement occasionnés lors d’une formation suivie en CTA – Transport en commun (demande d’un établissement) </w:t>
      </w:r>
      <w:r>
        <w:rPr>
          <w:rFonts w:asciiTheme="minorHAnsi" w:hAnsiTheme="minorHAnsi" w:cstheme="minorHAnsi"/>
          <w:sz w:val="12"/>
          <w:szCs w:val="12"/>
        </w:rPr>
        <w:tab/>
      </w:r>
      <w:r>
        <w:rPr>
          <w:rFonts w:asciiTheme="minorHAnsi" w:hAnsiTheme="minorHAnsi" w:cstheme="minorHAnsi"/>
          <w:sz w:val="20"/>
          <w:szCs w:val="20"/>
        </w:rPr>
        <w:t xml:space="preserve"> 89</w:t>
      </w:r>
    </w:p>
    <w:p>
      <w:pPr>
        <w:tabs>
          <w:tab w:val="right" w:leader="dot" w:pos="9070"/>
        </w:tabs>
        <w:spacing w:after="120"/>
        <w:rPr>
          <w:rFonts w:asciiTheme="minorHAnsi" w:hAnsiTheme="minorHAnsi" w:cstheme="minorHAnsi"/>
          <w:sz w:val="20"/>
          <w:szCs w:val="20"/>
        </w:rPr>
      </w:pPr>
      <w:r>
        <w:rPr>
          <w:rFonts w:asciiTheme="minorHAnsi" w:hAnsiTheme="minorHAnsi" w:cstheme="minorHAnsi"/>
          <w:b/>
          <w:spacing w:val="-4"/>
          <w:sz w:val="20"/>
          <w:szCs w:val="20"/>
        </w:rPr>
        <w:t>Annexe 11</w:t>
      </w:r>
      <w:r>
        <w:rPr>
          <w:rFonts w:asciiTheme="minorHAnsi" w:hAnsiTheme="minorHAnsi" w:cstheme="minorHAnsi"/>
          <w:spacing w:val="-4"/>
          <w:sz w:val="20"/>
          <w:szCs w:val="20"/>
        </w:rPr>
        <w:t xml:space="preserve"> – Déclaration de créance pour le remboursement de frais de déplacement occasionnés lors d’une formation suivie en CTA – Transport en commun (demande d’un enseignant) </w:t>
      </w:r>
      <w:r>
        <w:rPr>
          <w:rFonts w:asciiTheme="minorHAnsi" w:hAnsiTheme="minorHAnsi" w:cstheme="minorHAnsi"/>
          <w:sz w:val="12"/>
          <w:szCs w:val="12"/>
        </w:rPr>
        <w:tab/>
      </w:r>
      <w:r>
        <w:rPr>
          <w:rFonts w:asciiTheme="minorHAnsi" w:hAnsiTheme="minorHAnsi" w:cstheme="minorHAnsi"/>
          <w:sz w:val="20"/>
          <w:szCs w:val="20"/>
        </w:rPr>
        <w:t xml:space="preserve"> 91</w:t>
      </w:r>
    </w:p>
    <w:p>
      <w:pPr>
        <w:tabs>
          <w:tab w:val="right" w:leader="dot" w:pos="9070"/>
        </w:tabs>
        <w:spacing w:after="120"/>
        <w:rPr>
          <w:rFonts w:asciiTheme="minorHAnsi" w:hAnsiTheme="minorHAnsi" w:cstheme="minorHAnsi"/>
          <w:sz w:val="20"/>
          <w:szCs w:val="20"/>
        </w:rPr>
      </w:pPr>
      <w:r>
        <w:rPr>
          <w:rFonts w:asciiTheme="minorHAnsi" w:hAnsiTheme="minorHAnsi" w:cstheme="minorHAnsi"/>
          <w:b/>
          <w:spacing w:val="-4"/>
          <w:sz w:val="20"/>
          <w:szCs w:val="20"/>
        </w:rPr>
        <w:t>Annexe 12</w:t>
      </w:r>
      <w:r>
        <w:rPr>
          <w:rFonts w:asciiTheme="minorHAnsi" w:hAnsiTheme="minorHAnsi" w:cstheme="minorHAnsi"/>
          <w:spacing w:val="-4"/>
          <w:sz w:val="20"/>
          <w:szCs w:val="20"/>
        </w:rPr>
        <w:t xml:space="preserve"> – Déclaration de créance pour le remboursement de frais d’hébergement occasionnés lors d’une formation suivie en CTA – Transport en commun (demande d’un établissement) </w:t>
      </w:r>
      <w:r>
        <w:rPr>
          <w:rFonts w:asciiTheme="minorHAnsi" w:hAnsiTheme="minorHAnsi" w:cstheme="minorHAnsi"/>
          <w:sz w:val="12"/>
          <w:szCs w:val="12"/>
        </w:rPr>
        <w:tab/>
      </w:r>
      <w:r>
        <w:rPr>
          <w:rFonts w:asciiTheme="minorHAnsi" w:hAnsiTheme="minorHAnsi" w:cstheme="minorHAnsi"/>
          <w:sz w:val="20"/>
          <w:szCs w:val="20"/>
        </w:rPr>
        <w:t xml:space="preserve"> 93</w:t>
      </w:r>
    </w:p>
    <w:p>
      <w:pPr>
        <w:tabs>
          <w:tab w:val="right" w:leader="dot" w:pos="9070"/>
        </w:tabs>
        <w:spacing w:after="120"/>
        <w:rPr>
          <w:rFonts w:asciiTheme="minorHAnsi" w:hAnsiTheme="minorHAnsi" w:cstheme="minorHAnsi"/>
          <w:sz w:val="20"/>
          <w:szCs w:val="20"/>
        </w:rPr>
      </w:pPr>
      <w:r>
        <w:rPr>
          <w:rFonts w:asciiTheme="minorHAnsi" w:hAnsiTheme="minorHAnsi" w:cstheme="minorHAnsi"/>
          <w:b/>
          <w:sz w:val="20"/>
          <w:szCs w:val="20"/>
        </w:rPr>
        <w:t>Annexe 13</w:t>
      </w:r>
      <w:r>
        <w:rPr>
          <w:rFonts w:asciiTheme="minorHAnsi" w:hAnsiTheme="minorHAnsi" w:cstheme="minorHAnsi"/>
          <w:sz w:val="20"/>
          <w:szCs w:val="20"/>
        </w:rPr>
        <w:t xml:space="preserve"> – Vade-mecum relatif à la procédure de remboursement des frais de déplacement et d’hébergement des participants aux formations CTA </w:t>
      </w:r>
      <w:r>
        <w:rPr>
          <w:rFonts w:asciiTheme="minorHAnsi" w:hAnsiTheme="minorHAnsi" w:cstheme="minorHAnsi"/>
          <w:sz w:val="12"/>
          <w:szCs w:val="12"/>
        </w:rPr>
        <w:tab/>
      </w:r>
      <w:r>
        <w:rPr>
          <w:rFonts w:asciiTheme="minorHAnsi" w:hAnsiTheme="minorHAnsi" w:cstheme="minorHAnsi"/>
          <w:sz w:val="20"/>
          <w:szCs w:val="20"/>
        </w:rPr>
        <w:t xml:space="preserve"> 95</w:t>
      </w:r>
    </w:p>
    <w:p>
      <w:pPr>
        <w:tabs>
          <w:tab w:val="right" w:leader="dot" w:pos="9070"/>
        </w:tabs>
        <w:spacing w:after="120"/>
        <w:rPr>
          <w:rFonts w:asciiTheme="minorHAnsi" w:hAnsiTheme="minorHAnsi" w:cstheme="minorHAnsi"/>
          <w:sz w:val="20"/>
          <w:szCs w:val="20"/>
        </w:rPr>
      </w:pPr>
      <w:r>
        <w:rPr>
          <w:rFonts w:asciiTheme="minorHAnsi" w:hAnsiTheme="minorHAnsi" w:cstheme="minorHAnsi"/>
          <w:b/>
          <w:sz w:val="20"/>
          <w:szCs w:val="20"/>
        </w:rPr>
        <w:t>Annexe 14</w:t>
      </w:r>
      <w:r>
        <w:rPr>
          <w:rFonts w:asciiTheme="minorHAnsi" w:hAnsiTheme="minorHAnsi" w:cstheme="minorHAnsi"/>
          <w:sz w:val="20"/>
          <w:szCs w:val="20"/>
        </w:rPr>
        <w:t xml:space="preserve"> – Catégories de frais des CTA </w:t>
      </w:r>
      <w:r>
        <w:rPr>
          <w:rFonts w:asciiTheme="minorHAnsi" w:hAnsiTheme="minorHAnsi" w:cstheme="minorHAnsi"/>
          <w:sz w:val="12"/>
          <w:szCs w:val="12"/>
        </w:rPr>
        <w:tab/>
      </w:r>
      <w:r>
        <w:rPr>
          <w:rFonts w:asciiTheme="minorHAnsi" w:hAnsiTheme="minorHAnsi" w:cstheme="minorHAnsi"/>
          <w:sz w:val="20"/>
          <w:szCs w:val="20"/>
        </w:rPr>
        <w:t xml:space="preserve"> 101</w:t>
      </w:r>
    </w:p>
    <w:p>
      <w:pPr>
        <w:tabs>
          <w:tab w:val="right" w:leader="dot" w:pos="9070"/>
        </w:tabs>
        <w:spacing w:after="120"/>
        <w:rPr>
          <w:rFonts w:asciiTheme="minorHAnsi" w:hAnsiTheme="minorHAnsi" w:cstheme="minorHAnsi"/>
          <w:sz w:val="20"/>
          <w:szCs w:val="20"/>
        </w:rPr>
      </w:pPr>
      <w:r>
        <w:rPr>
          <w:rFonts w:asciiTheme="minorHAnsi" w:hAnsiTheme="minorHAnsi" w:cstheme="minorHAnsi"/>
          <w:b/>
          <w:sz w:val="20"/>
          <w:szCs w:val="20"/>
        </w:rPr>
        <w:t>Annexe 15</w:t>
      </w:r>
      <w:r>
        <w:rPr>
          <w:rFonts w:asciiTheme="minorHAnsi" w:hAnsiTheme="minorHAnsi" w:cstheme="minorHAnsi"/>
          <w:sz w:val="20"/>
          <w:szCs w:val="20"/>
        </w:rPr>
        <w:t xml:space="preserve"> – Rapport d’activités annuel </w:t>
      </w:r>
      <w:r>
        <w:rPr>
          <w:rFonts w:asciiTheme="minorHAnsi" w:hAnsiTheme="minorHAnsi" w:cstheme="minorHAnsi"/>
          <w:sz w:val="12"/>
          <w:szCs w:val="12"/>
        </w:rPr>
        <w:tab/>
      </w:r>
      <w:r>
        <w:rPr>
          <w:rFonts w:asciiTheme="minorHAnsi" w:hAnsiTheme="minorHAnsi" w:cstheme="minorHAnsi"/>
          <w:sz w:val="20"/>
          <w:szCs w:val="20"/>
        </w:rPr>
        <w:t xml:space="preserve"> 103</w:t>
      </w:r>
    </w:p>
    <w:p>
      <w:pPr>
        <w:tabs>
          <w:tab w:val="right" w:leader="dot" w:pos="9070"/>
        </w:tabs>
        <w:spacing w:after="120"/>
        <w:rPr>
          <w:rFonts w:asciiTheme="minorHAnsi" w:hAnsiTheme="minorHAnsi" w:cstheme="minorHAnsi"/>
          <w:sz w:val="20"/>
          <w:szCs w:val="20"/>
        </w:rPr>
      </w:pPr>
      <w:r>
        <w:rPr>
          <w:rFonts w:asciiTheme="minorHAnsi" w:hAnsiTheme="minorHAnsi" w:cstheme="minorHAnsi"/>
          <w:b/>
          <w:sz w:val="20"/>
          <w:szCs w:val="20"/>
        </w:rPr>
        <w:t>Annexe 16</w:t>
      </w:r>
      <w:r>
        <w:rPr>
          <w:rFonts w:asciiTheme="minorHAnsi" w:hAnsiTheme="minorHAnsi" w:cstheme="minorHAnsi"/>
          <w:sz w:val="20"/>
          <w:szCs w:val="20"/>
        </w:rPr>
        <w:t xml:space="preserve"> – Déclaration de créance à joindre au dossier justificatif relatif au remboursement de frais occasionnés suite à la maintenance d’un équipement CTA </w:t>
      </w:r>
      <w:r>
        <w:rPr>
          <w:rFonts w:asciiTheme="minorHAnsi" w:hAnsiTheme="minorHAnsi" w:cstheme="minorHAnsi"/>
          <w:sz w:val="12"/>
          <w:szCs w:val="12"/>
        </w:rPr>
        <w:tab/>
      </w:r>
      <w:r>
        <w:rPr>
          <w:rFonts w:asciiTheme="minorHAnsi" w:hAnsiTheme="minorHAnsi" w:cstheme="minorHAnsi"/>
          <w:sz w:val="20"/>
          <w:szCs w:val="20"/>
        </w:rPr>
        <w:t xml:space="preserve"> 108</w:t>
      </w:r>
    </w:p>
    <w:p>
      <w:pPr>
        <w:tabs>
          <w:tab w:val="right" w:leader="dot" w:pos="9070"/>
        </w:tabs>
        <w:spacing w:after="120"/>
        <w:rPr>
          <w:rFonts w:asciiTheme="minorHAnsi" w:hAnsiTheme="minorHAnsi" w:cstheme="minorHAnsi"/>
          <w:sz w:val="20"/>
          <w:szCs w:val="20"/>
        </w:rPr>
      </w:pPr>
      <w:r>
        <w:rPr>
          <w:rFonts w:asciiTheme="minorHAnsi" w:hAnsiTheme="minorHAnsi" w:cstheme="minorHAnsi"/>
          <w:b/>
          <w:sz w:val="20"/>
          <w:szCs w:val="20"/>
        </w:rPr>
        <w:t>Annexe 17</w:t>
      </w:r>
      <w:r>
        <w:rPr>
          <w:rFonts w:asciiTheme="minorHAnsi" w:hAnsiTheme="minorHAnsi" w:cstheme="minorHAnsi"/>
          <w:sz w:val="20"/>
          <w:szCs w:val="20"/>
        </w:rPr>
        <w:t xml:space="preserve"> – Vade-mecum d’utilisation du réseau de partage sécurisé CTA </w:t>
      </w:r>
      <w:r>
        <w:rPr>
          <w:rFonts w:asciiTheme="minorHAnsi" w:hAnsiTheme="minorHAnsi" w:cstheme="minorHAnsi"/>
          <w:sz w:val="12"/>
          <w:szCs w:val="12"/>
        </w:rPr>
        <w:tab/>
      </w:r>
      <w:r>
        <w:rPr>
          <w:rFonts w:asciiTheme="minorHAnsi" w:hAnsiTheme="minorHAnsi" w:cstheme="minorHAnsi"/>
          <w:sz w:val="20"/>
          <w:szCs w:val="20"/>
        </w:rPr>
        <w:t xml:space="preserve"> 110</w:t>
      </w:r>
    </w:p>
    <w:p>
      <w:pPr>
        <w:tabs>
          <w:tab w:val="right" w:leader="dot" w:pos="9070"/>
        </w:tabs>
        <w:spacing w:after="120"/>
        <w:rPr>
          <w:rFonts w:asciiTheme="minorHAnsi" w:hAnsiTheme="minorHAnsi" w:cstheme="minorHAnsi"/>
          <w:sz w:val="20"/>
          <w:szCs w:val="20"/>
        </w:rPr>
      </w:pPr>
      <w:r>
        <w:rPr>
          <w:rFonts w:asciiTheme="minorHAnsi" w:hAnsiTheme="minorHAnsi" w:cstheme="minorHAnsi"/>
          <w:b/>
          <w:sz w:val="20"/>
          <w:szCs w:val="20"/>
        </w:rPr>
        <w:t>Annexe 18</w:t>
      </w:r>
      <w:r>
        <w:rPr>
          <w:rFonts w:asciiTheme="minorHAnsi" w:hAnsiTheme="minorHAnsi" w:cstheme="minorHAnsi"/>
          <w:sz w:val="20"/>
          <w:szCs w:val="20"/>
        </w:rPr>
        <w:t xml:space="preserve"> – Vade-mecum d’utilisation du formulaire d’encodage des formations </w:t>
      </w:r>
      <w:r>
        <w:rPr>
          <w:rFonts w:asciiTheme="minorHAnsi" w:hAnsiTheme="minorHAnsi" w:cstheme="minorHAnsi"/>
          <w:sz w:val="12"/>
          <w:szCs w:val="12"/>
        </w:rPr>
        <w:tab/>
      </w:r>
      <w:r>
        <w:rPr>
          <w:rFonts w:asciiTheme="minorHAnsi" w:hAnsiTheme="minorHAnsi" w:cstheme="minorHAnsi"/>
          <w:sz w:val="20"/>
          <w:szCs w:val="20"/>
        </w:rPr>
        <w:t xml:space="preserve"> 127</w:t>
      </w:r>
    </w:p>
    <w:p>
      <w:pPr>
        <w:numPr>
          <w:ilvl w:val="0"/>
          <w:numId w:val="2"/>
        </w:numPr>
        <w:tabs>
          <w:tab w:val="clear" w:pos="720"/>
          <w:tab w:val="num" w:pos="426"/>
        </w:tabs>
        <w:spacing w:after="360"/>
        <w:ind w:left="426" w:hanging="426"/>
        <w:jc w:val="both"/>
        <w:rPr>
          <w:rFonts w:ascii="Calibri" w:hAnsi="Calibri" w:cs="Calibri"/>
          <w:b/>
          <w:smallCaps/>
          <w:sz w:val="40"/>
          <w:szCs w:val="40"/>
          <w:u w:val="single"/>
        </w:rPr>
      </w:pPr>
      <w:r>
        <w:rPr>
          <w:rFonts w:ascii="Calibri" w:hAnsi="Calibri" w:cs="Calibri"/>
          <w:b/>
          <w:sz w:val="28"/>
          <w:szCs w:val="28"/>
          <w:u w:val="single"/>
        </w:rPr>
        <w:br w:type="page"/>
      </w:r>
      <w:r>
        <w:rPr>
          <w:rFonts w:ascii="Calibri" w:hAnsi="Calibri" w:cs="Calibri"/>
          <w:b/>
          <w:smallCaps/>
          <w:sz w:val="40"/>
          <w:szCs w:val="40"/>
          <w:u w:val="single"/>
        </w:rPr>
        <w:lastRenderedPageBreak/>
        <w:t>Définition</w:t>
      </w:r>
    </w:p>
    <w:p>
      <w:pPr>
        <w:spacing w:after="120"/>
        <w:jc w:val="both"/>
        <w:rPr>
          <w:rFonts w:ascii="Calibri" w:hAnsi="Calibri" w:cs="Calibri"/>
          <w:sz w:val="20"/>
          <w:szCs w:val="20"/>
        </w:rPr>
      </w:pPr>
      <w:r>
        <w:rPr>
          <w:rFonts w:ascii="Calibri" w:hAnsi="Calibri" w:cs="Calibri"/>
          <w:sz w:val="20"/>
          <w:szCs w:val="20"/>
        </w:rPr>
        <w:t>Un Centre de Technologies Avancées (CTA) est une infrastructure reconnue par le Gouvernement de la Fédération Wallonie-Bruxelles, installée dans un établissement d’enseignement secondaire qualifiant et mettant des équipements de pointe à disposition des élèves, des étudiants et des enseignants des enseignements secondaire, supérieur et de promotion sociale, quels que soient le réseau et le caractère d’enseignement, ainsi que des apprentis et des formateurs de l’IFAPME/Espace Formation PME, des demandeurs d’emploi et des travailleurs. Cette offre de formation qualifiante doit être complémentaire, tant au niveau géographique que sectoriel, à l’offre des Centres de Compétence en Région wallonne et à celle des Centres de Référence professionnelle en Région bruxelloise.</w:t>
      </w:r>
    </w:p>
    <w:p>
      <w:pPr>
        <w:spacing w:after="120"/>
        <w:jc w:val="both"/>
        <w:rPr>
          <w:rFonts w:ascii="Calibri" w:hAnsi="Calibri" w:cs="Calibri"/>
          <w:sz w:val="20"/>
          <w:szCs w:val="20"/>
        </w:rPr>
      </w:pPr>
      <w:r>
        <w:rPr>
          <w:rFonts w:ascii="Calibri" w:hAnsi="Calibri" w:cs="Calibri"/>
          <w:sz w:val="20"/>
          <w:szCs w:val="20"/>
        </w:rPr>
        <w:t>Les CTA sont développés en priorité pour les secteurs professionnels porteurs afin de fournir une offre de formation complémentaire à celle fournie dans les filières techniques et professionnelles. Il s’agit donc de répondre ainsi aux besoins des secteurs concernés (métiers en pénurie) en adaptant l’offre d’enseignement aux besoins socio-économiques présents et futurs des entreprises.</w:t>
      </w:r>
    </w:p>
    <w:p>
      <w:pPr>
        <w:spacing w:after="120"/>
        <w:jc w:val="both"/>
        <w:rPr>
          <w:rFonts w:ascii="Calibri" w:hAnsi="Calibri" w:cs="Calibri"/>
          <w:sz w:val="20"/>
          <w:szCs w:val="20"/>
        </w:rPr>
      </w:pPr>
      <w:r>
        <w:rPr>
          <w:rFonts w:ascii="Calibri" w:hAnsi="Calibri" w:cs="Calibri"/>
          <w:sz w:val="20"/>
          <w:szCs w:val="20"/>
        </w:rPr>
        <w:t>Le réseau des CTA compte actuellement 30 centres labellisés, 23 en Région wallonne et 7 en Région bruxelloise.</w:t>
      </w:r>
    </w:p>
    <w:p>
      <w:pPr>
        <w:spacing w:after="120"/>
        <w:jc w:val="both"/>
        <w:rPr>
          <w:rFonts w:ascii="Calibri" w:hAnsi="Calibri" w:cs="Calibri"/>
          <w:sz w:val="20"/>
          <w:szCs w:val="20"/>
        </w:rPr>
      </w:pPr>
      <w:r>
        <w:rPr>
          <w:rFonts w:ascii="Calibri" w:hAnsi="Calibri" w:cs="Calibri"/>
          <w:sz w:val="20"/>
          <w:szCs w:val="20"/>
        </w:rPr>
        <w:t>La création des CTA participe d’une politique plus globale de refondation de l’Enseignement qualifiant, qui passe également par :</w:t>
      </w:r>
    </w:p>
    <w:p>
      <w:pPr>
        <w:numPr>
          <w:ilvl w:val="0"/>
          <w:numId w:val="23"/>
        </w:numPr>
        <w:spacing w:after="120"/>
        <w:jc w:val="both"/>
        <w:rPr>
          <w:rFonts w:ascii="Calibri" w:hAnsi="Calibri" w:cs="Calibri"/>
          <w:sz w:val="20"/>
          <w:szCs w:val="20"/>
        </w:rPr>
      </w:pPr>
      <w:r>
        <w:rPr>
          <w:rFonts w:ascii="Calibri" w:hAnsi="Calibri" w:cs="Calibri"/>
          <w:sz w:val="20"/>
          <w:szCs w:val="20"/>
        </w:rPr>
        <w:t>la mise à disposition par les Centres de Compétences de la Région wallonne et par les Centres de Référence professionnelle de la Région bruxelloise d’une offre de formation à destination des élèves et enseignants de l’enseignement secondaire qualifiant et du 3</w:t>
      </w:r>
      <w:r>
        <w:rPr>
          <w:rFonts w:ascii="Calibri" w:hAnsi="Calibri" w:cs="Calibri"/>
          <w:sz w:val="20"/>
          <w:szCs w:val="20"/>
          <w:vertAlign w:val="superscript"/>
        </w:rPr>
        <w:t>e</w:t>
      </w:r>
      <w:r>
        <w:rPr>
          <w:rFonts w:ascii="Calibri" w:hAnsi="Calibri" w:cs="Calibri"/>
          <w:sz w:val="20"/>
          <w:szCs w:val="20"/>
        </w:rPr>
        <w:t xml:space="preserve"> degré de l’enseignement technique de transition de l’enseignement secondaire ordinaire, des étudiants et des enseignants de l’enseignement de promotion sociale et de l’enseignement supérieur, des formateurs de l’IFAPME, de l’AWIPH et du SFPME ainsi que de l’organisation d’actions de sensibilisation et d’information portant sur la perception individuelle et sociale des métiers et des professions à destination des élèves et des enseignants de l’enseignement primaire et secondaire</w:t>
      </w:r>
    </w:p>
    <w:p>
      <w:pPr>
        <w:numPr>
          <w:ilvl w:val="0"/>
          <w:numId w:val="23"/>
        </w:numPr>
        <w:spacing w:after="120"/>
        <w:jc w:val="both"/>
        <w:rPr>
          <w:rFonts w:ascii="Calibri" w:hAnsi="Calibri" w:cs="Calibri"/>
          <w:sz w:val="20"/>
          <w:szCs w:val="20"/>
        </w:rPr>
      </w:pPr>
      <w:r>
        <w:rPr>
          <w:rFonts w:ascii="Calibri" w:hAnsi="Calibri" w:cs="Calibri"/>
          <w:sz w:val="20"/>
          <w:szCs w:val="20"/>
        </w:rPr>
        <w:t>la modernisation de l’équipement pédagogique dans les établissements d’enseignement qualifiant et dans les CTA labellisés en leur permettant d’acquérir du matériel via le Fonds d’équipement</w:t>
      </w:r>
    </w:p>
    <w:p>
      <w:pPr>
        <w:numPr>
          <w:ilvl w:val="0"/>
          <w:numId w:val="23"/>
        </w:numPr>
        <w:spacing w:after="120"/>
        <w:jc w:val="both"/>
        <w:rPr>
          <w:rFonts w:ascii="Calibri" w:hAnsi="Calibri" w:cs="Calibri"/>
          <w:sz w:val="20"/>
          <w:szCs w:val="20"/>
        </w:rPr>
      </w:pPr>
      <w:r>
        <w:rPr>
          <w:rFonts w:ascii="Calibri" w:hAnsi="Calibri" w:cs="Calibri"/>
          <w:sz w:val="20"/>
          <w:szCs w:val="20"/>
        </w:rPr>
        <w:t xml:space="preserve">l’établissement d’un cadastre de tous les équipements pédagogiques de qualité des infrastructures de formation et d’enseignement qualifiant actuellement à disposition, mais également de leur accessibilité, de leur qualité, de leur coût et de leur employabilité </w:t>
      </w:r>
    </w:p>
    <w:p>
      <w:pPr>
        <w:numPr>
          <w:ilvl w:val="0"/>
          <w:numId w:val="23"/>
        </w:numPr>
        <w:spacing w:after="120"/>
        <w:jc w:val="both"/>
        <w:rPr>
          <w:rFonts w:ascii="Calibri" w:hAnsi="Calibri" w:cs="Calibri"/>
          <w:sz w:val="20"/>
          <w:szCs w:val="20"/>
        </w:rPr>
      </w:pPr>
      <w:r>
        <w:rPr>
          <w:rFonts w:ascii="Calibri" w:hAnsi="Calibri" w:cs="Calibri"/>
          <w:sz w:val="20"/>
          <w:szCs w:val="20"/>
        </w:rPr>
        <w:t>la définition de profils de qualification sur base desquels ont été construits des profils de formation par le Service Francophone des Métiers et des Qualifications (SFMQ)</w:t>
      </w:r>
    </w:p>
    <w:p>
      <w:pPr>
        <w:numPr>
          <w:ilvl w:val="0"/>
          <w:numId w:val="23"/>
        </w:numPr>
        <w:spacing w:after="120"/>
        <w:jc w:val="both"/>
        <w:rPr>
          <w:rFonts w:ascii="Calibri" w:hAnsi="Calibri" w:cs="Calibri"/>
          <w:sz w:val="20"/>
          <w:szCs w:val="20"/>
        </w:rPr>
      </w:pPr>
      <w:r>
        <w:rPr>
          <w:rFonts w:ascii="Calibri" w:hAnsi="Calibri" w:cs="Calibri"/>
          <w:sz w:val="20"/>
          <w:szCs w:val="20"/>
        </w:rPr>
        <w:t>la mise en place de la Certification par Unités (CPU)</w:t>
      </w:r>
    </w:p>
    <w:p>
      <w:pPr>
        <w:numPr>
          <w:ilvl w:val="0"/>
          <w:numId w:val="23"/>
        </w:numPr>
        <w:spacing w:after="120"/>
        <w:jc w:val="both"/>
        <w:rPr>
          <w:rFonts w:ascii="Calibri" w:hAnsi="Calibri" w:cs="Calibri"/>
          <w:sz w:val="20"/>
          <w:szCs w:val="20"/>
        </w:rPr>
      </w:pPr>
      <w:r>
        <w:rPr>
          <w:rFonts w:ascii="Calibri" w:hAnsi="Calibri" w:cs="Calibri"/>
          <w:sz w:val="20"/>
          <w:szCs w:val="20"/>
        </w:rPr>
        <w:t>la mise en place des Bassins Enseignement qualifiant – Formation – Emploi</w:t>
      </w:r>
      <w:r>
        <w:rPr>
          <w:rStyle w:val="Appelnotedebasdep"/>
          <w:rFonts w:ascii="Calibri" w:hAnsi="Calibri" w:cs="Calibri"/>
          <w:sz w:val="20"/>
          <w:szCs w:val="20"/>
        </w:rPr>
        <w:footnoteReference w:id="1"/>
      </w:r>
    </w:p>
    <w:p>
      <w:pPr>
        <w:numPr>
          <w:ilvl w:val="0"/>
          <w:numId w:val="23"/>
        </w:numPr>
        <w:spacing w:after="120"/>
        <w:jc w:val="both"/>
        <w:rPr>
          <w:rFonts w:ascii="Calibri" w:hAnsi="Calibri" w:cs="Calibri"/>
          <w:sz w:val="20"/>
          <w:szCs w:val="20"/>
        </w:rPr>
      </w:pPr>
      <w:r>
        <w:rPr>
          <w:rFonts w:ascii="Calibri" w:hAnsi="Calibri" w:cs="Calibri"/>
          <w:sz w:val="20"/>
          <w:szCs w:val="20"/>
        </w:rPr>
        <w:t xml:space="preserve">l’organisation d’actions de promotion des métiers techniques et manuels en vue de contribuer à véhiculer une image positive de l’enseignement qualifiant </w:t>
      </w:r>
    </w:p>
    <w:p>
      <w:pPr>
        <w:rPr>
          <w:rFonts w:ascii="Calibri" w:hAnsi="Calibri" w:cs="Calibri"/>
          <w:b/>
          <w:sz w:val="36"/>
          <w:szCs w:val="36"/>
          <w:u w:val="single"/>
        </w:rPr>
      </w:pPr>
      <w:r>
        <w:rPr>
          <w:rFonts w:ascii="Calibri" w:hAnsi="Calibri" w:cs="Calibri"/>
          <w:b/>
          <w:sz w:val="36"/>
          <w:szCs w:val="36"/>
          <w:u w:val="single"/>
        </w:rPr>
        <w:br w:type="page"/>
      </w:r>
    </w:p>
    <w:p>
      <w:pPr>
        <w:numPr>
          <w:ilvl w:val="0"/>
          <w:numId w:val="2"/>
        </w:numPr>
        <w:tabs>
          <w:tab w:val="clear" w:pos="720"/>
          <w:tab w:val="num" w:pos="426"/>
        </w:tabs>
        <w:spacing w:after="360"/>
        <w:ind w:left="426" w:hanging="426"/>
        <w:jc w:val="both"/>
        <w:rPr>
          <w:rFonts w:ascii="Calibri" w:hAnsi="Calibri" w:cs="Calibri"/>
          <w:b/>
          <w:smallCaps/>
          <w:sz w:val="40"/>
          <w:szCs w:val="40"/>
          <w:u w:val="single"/>
        </w:rPr>
      </w:pPr>
      <w:r>
        <w:rPr>
          <w:rFonts w:ascii="Calibri" w:hAnsi="Calibri" w:cs="Calibri"/>
          <w:b/>
          <w:smallCaps/>
          <w:sz w:val="40"/>
          <w:szCs w:val="40"/>
          <w:u w:val="single"/>
        </w:rPr>
        <w:lastRenderedPageBreak/>
        <w:t>Label CTA</w:t>
      </w:r>
    </w:p>
    <w:p>
      <w:pPr>
        <w:autoSpaceDE w:val="0"/>
        <w:autoSpaceDN w:val="0"/>
        <w:adjustRightInd w:val="0"/>
        <w:spacing w:after="120"/>
        <w:jc w:val="both"/>
        <w:rPr>
          <w:rFonts w:ascii="Calibri" w:hAnsi="Calibri" w:cs="Calibri"/>
          <w:sz w:val="20"/>
          <w:szCs w:val="20"/>
          <w:lang w:eastAsia="fr-BE"/>
        </w:rPr>
      </w:pPr>
      <w:r>
        <w:rPr>
          <w:rFonts w:ascii="Calibri" w:hAnsi="Calibri" w:cs="Calibri"/>
          <w:sz w:val="20"/>
          <w:szCs w:val="20"/>
          <w:lang w:eastAsia="fr-BE"/>
        </w:rPr>
        <w:t>Les CTA sont labellisés par le Gouvernement de la Fédération Wallonie-Bruxelles dans le respect d'un cahier des charges, approuvé par ce même Gouvernement, sur proposition de la Commission de suivi opérationnel « mixte » visée à l'article 10 de l’accord de coopération du 20 mars 2014.</w:t>
      </w:r>
    </w:p>
    <w:p>
      <w:pPr>
        <w:autoSpaceDE w:val="0"/>
        <w:autoSpaceDN w:val="0"/>
        <w:adjustRightInd w:val="0"/>
        <w:spacing w:after="120"/>
        <w:jc w:val="both"/>
        <w:rPr>
          <w:rFonts w:ascii="Calibri" w:hAnsi="Calibri" w:cs="Calibri"/>
          <w:sz w:val="20"/>
          <w:szCs w:val="20"/>
          <w:lang w:eastAsia="fr-BE"/>
        </w:rPr>
      </w:pPr>
      <w:r>
        <w:rPr>
          <w:rFonts w:ascii="Calibri" w:hAnsi="Calibri" w:cs="Calibri"/>
          <w:sz w:val="20"/>
          <w:szCs w:val="20"/>
          <w:lang w:eastAsia="fr-BE"/>
        </w:rPr>
        <w:t>Ce cahier des charges prévoit notamment les critères d'éligibilité suivants :</w:t>
      </w:r>
    </w:p>
    <w:p>
      <w:pPr>
        <w:numPr>
          <w:ilvl w:val="0"/>
          <w:numId w:val="50"/>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t>Accueillir sans discrimination les élèves et les enseignants des établissements d'enseignement qualifiant, d'enseignement de promotion sociale et d'enseignement supérieur sur base de conventions bilatérales entre, d'une part le Pouvoir organisateur de l'établissement d'enseignement qualifiant au sein duquel se situe le CTA ou le Président de l'asbl qui assure la gestion du CTA et d'autre part les Pouvoirs organisateurs des établissements d'enseignement qualifiant, de promotion sociale et du supérieur. Ces conventions bilatérales doivent prévoir les engagements respectifs des deux parties en matière de modalités d'accès aux équipements et de programme de formation spécifique.</w:t>
      </w:r>
    </w:p>
    <w:p>
      <w:pPr>
        <w:numPr>
          <w:ilvl w:val="0"/>
          <w:numId w:val="50"/>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t>Accueillir sans discrimination les demandeurs d'emploi et les travailleurs sur base de conventions bilatérales entre, d'une part le Pouvoir organisateur de l'établissement d'enseignement qualifiant au sein duquel se situe le CTA ou le Président de l'asbl qui assure la gestion du CTA et d'autre part les instances régionales compétentes. Ces conventions bilatérales doivent prévoir les engagements respectifs des deux parties en matière de modalités d'accès aux équipements et de programme de formation spécifique.</w:t>
      </w:r>
    </w:p>
    <w:p>
      <w:pPr>
        <w:numPr>
          <w:ilvl w:val="0"/>
          <w:numId w:val="50"/>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t xml:space="preserve">Tenir compte pour leur implantation de la localisation des Centres de formation régionaux ainsi que des infrastructures de formation ou d'enseignement qualifiant créés dans les mêmes secteurs afin d'assurer une couverture géographique maximale de l'offre de formation qualifiante. </w:t>
      </w:r>
    </w:p>
    <w:p>
      <w:pPr>
        <w:numPr>
          <w:ilvl w:val="0"/>
          <w:numId w:val="50"/>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t>S'inscrire dans la mise en œuvre d'une offre de formation harmonisée, en relation d'une part avec les pénuries d'emploi constatées par le Forem, Actiris, les Bassins Enseignement qualifiant – Formation – Emploi et les Fonds sectoriels sur la zone d'enseignement du CTA concerné ou des zones d'enseignement avoisinantes et d'autre part avec les besoins en équipement constatés au travers du cadastre des équipements pédagogiques.</w:t>
      </w:r>
    </w:p>
    <w:p>
      <w:pPr>
        <w:numPr>
          <w:ilvl w:val="0"/>
          <w:numId w:val="50"/>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t>S'inscrire dans une politique de formation en cours de carrière des professeurs de l'enseignement qualifiant.</w:t>
      </w:r>
    </w:p>
    <w:p>
      <w:pPr>
        <w:numPr>
          <w:ilvl w:val="0"/>
          <w:numId w:val="50"/>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t>S'inscrire dans l'application des profils de formation tels que définis dans le cadre du SFMQ, ou à défaut de la CCPQ.</w:t>
      </w:r>
    </w:p>
    <w:p>
      <w:pPr>
        <w:autoSpaceDE w:val="0"/>
        <w:autoSpaceDN w:val="0"/>
        <w:adjustRightInd w:val="0"/>
        <w:spacing w:after="120"/>
        <w:jc w:val="both"/>
        <w:rPr>
          <w:rFonts w:ascii="Calibri" w:hAnsi="Calibri" w:cs="Calibri"/>
          <w:sz w:val="20"/>
          <w:szCs w:val="20"/>
          <w:lang w:eastAsia="fr-BE"/>
        </w:rPr>
      </w:pPr>
      <w:r>
        <w:rPr>
          <w:rFonts w:ascii="Calibri" w:hAnsi="Calibri" w:cs="Calibri"/>
          <w:sz w:val="20"/>
          <w:szCs w:val="20"/>
          <w:lang w:eastAsia="fr-BE"/>
        </w:rPr>
        <w:t>Par ailleurs, le décret du 11 avril 2014 précise que le Gouvernement peut labelliser un maximum de 6 centres de technologies existants comme CTA supplémentaires, sans que ceux-ci puissent prétendre à un financement de leurs équipements présents au moment de la labellisation. Ces CTA supplémentaires seront labellisés dans le respect d’un cahier des charges.</w:t>
      </w:r>
    </w:p>
    <w:p>
      <w:pPr>
        <w:autoSpaceDE w:val="0"/>
        <w:autoSpaceDN w:val="0"/>
        <w:adjustRightInd w:val="0"/>
        <w:spacing w:after="120"/>
        <w:jc w:val="both"/>
        <w:rPr>
          <w:rFonts w:ascii="Calibri" w:hAnsi="Calibri" w:cs="Calibri"/>
          <w:sz w:val="20"/>
          <w:szCs w:val="20"/>
          <w:lang w:eastAsia="fr-BE"/>
        </w:rPr>
      </w:pPr>
      <w:r>
        <w:rPr>
          <w:rFonts w:ascii="Calibri" w:hAnsi="Calibri" w:cs="Calibri"/>
          <w:sz w:val="20"/>
          <w:szCs w:val="20"/>
          <w:lang w:eastAsia="fr-BE"/>
        </w:rPr>
        <w:t>Ce cahier des charges prévoit notamment les critères de choix suivants :</w:t>
      </w:r>
    </w:p>
    <w:p>
      <w:pPr>
        <w:pStyle w:val="Corpsdetexte"/>
        <w:widowControl w:val="0"/>
        <w:numPr>
          <w:ilvl w:val="0"/>
          <w:numId w:val="51"/>
        </w:numPr>
        <w:pBdr>
          <w:top w:val="none" w:sz="0" w:space="0" w:color="auto"/>
          <w:left w:val="none" w:sz="0" w:space="0" w:color="auto"/>
          <w:bottom w:val="none" w:sz="0" w:space="0" w:color="auto"/>
          <w:right w:val="none" w:sz="0" w:space="0" w:color="auto"/>
        </w:pBdr>
        <w:spacing w:after="120"/>
        <w:ind w:left="714" w:right="149" w:hanging="357"/>
        <w:jc w:val="both"/>
        <w:rPr>
          <w:rFonts w:ascii="Calibri" w:hAnsi="Calibri" w:cs="Calibri"/>
          <w:b w:val="0"/>
          <w:sz w:val="20"/>
        </w:rPr>
      </w:pPr>
      <w:r>
        <w:rPr>
          <w:rFonts w:ascii="Calibri" w:hAnsi="Calibri" w:cs="Calibri"/>
          <w:b w:val="0"/>
          <w:sz w:val="20"/>
        </w:rPr>
        <w:t>L'implantation des CTA labellisés tient compte de la localisation des CDC, des CDR et des CTA existants ainsi que des infrastructures de formation ou d'enseignement qualifiant développés dans les mêmes secteurs afin d'assurer une couverture géographique maximale de l'offre de formation qualifiante</w:t>
      </w:r>
    </w:p>
    <w:p>
      <w:pPr>
        <w:numPr>
          <w:ilvl w:val="0"/>
          <w:numId w:val="51"/>
        </w:numPr>
        <w:autoSpaceDE w:val="0"/>
        <w:autoSpaceDN w:val="0"/>
        <w:adjustRightInd w:val="0"/>
        <w:spacing w:after="120"/>
        <w:ind w:left="714" w:hanging="357"/>
        <w:jc w:val="both"/>
        <w:rPr>
          <w:rFonts w:ascii="Calibri" w:hAnsi="Calibri" w:cs="Calibri"/>
          <w:sz w:val="20"/>
          <w:szCs w:val="20"/>
        </w:rPr>
      </w:pPr>
      <w:r>
        <w:rPr>
          <w:rFonts w:ascii="Calibri" w:hAnsi="Calibri" w:cs="Calibri"/>
          <w:sz w:val="20"/>
          <w:szCs w:val="20"/>
        </w:rPr>
        <w:t>Chaque CTA labellisé s'inscrit dans la mise en œuvre d'une offre de formation harmonisée, en relation d'une part avec les pénuries d'emploi constatées par le Forem ou Actiris, les besoins socio-économiques constatés au sein de la zone concernée et/ou des zones avoisinantes et d'autre part avec les besoins en équipement constatés au travers du cadastre des équipements pédagogiques.</w:t>
      </w:r>
    </w:p>
    <w:p>
      <w:pPr>
        <w:autoSpaceDE w:val="0"/>
        <w:autoSpaceDN w:val="0"/>
        <w:adjustRightInd w:val="0"/>
        <w:spacing w:after="120"/>
        <w:jc w:val="both"/>
        <w:rPr>
          <w:rFonts w:ascii="Calibri" w:hAnsi="Calibri" w:cs="Calibri"/>
          <w:sz w:val="20"/>
          <w:szCs w:val="20"/>
          <w:lang w:eastAsia="fr-BE"/>
        </w:rPr>
      </w:pPr>
      <w:r>
        <w:rPr>
          <w:rFonts w:ascii="Calibri" w:hAnsi="Calibri" w:cs="Calibri"/>
          <w:sz w:val="20"/>
          <w:szCs w:val="20"/>
          <w:lang w:eastAsia="fr-BE"/>
        </w:rPr>
        <w:t>Ce cahier des charges prévoit, en outre, les critères de priorité suivants classés du plus important au moins important :</w:t>
      </w:r>
    </w:p>
    <w:p>
      <w:pPr>
        <w:numPr>
          <w:ilvl w:val="0"/>
          <w:numId w:val="52"/>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t>une priorité est accordée aux projets de CTA dont les collaborations avec d'autres établissements d'enseignement secondaire sont formalisées</w:t>
      </w:r>
    </w:p>
    <w:p>
      <w:pPr>
        <w:rPr>
          <w:rFonts w:ascii="Calibri" w:hAnsi="Calibri" w:cs="Calibri"/>
          <w:sz w:val="20"/>
          <w:szCs w:val="20"/>
          <w:lang w:eastAsia="fr-BE"/>
        </w:rPr>
      </w:pPr>
      <w:r>
        <w:rPr>
          <w:rFonts w:ascii="Calibri" w:hAnsi="Calibri" w:cs="Calibri"/>
          <w:sz w:val="20"/>
          <w:szCs w:val="20"/>
          <w:lang w:eastAsia="fr-BE"/>
        </w:rPr>
        <w:br w:type="page"/>
      </w:r>
    </w:p>
    <w:p>
      <w:pPr>
        <w:numPr>
          <w:ilvl w:val="0"/>
          <w:numId w:val="52"/>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lastRenderedPageBreak/>
        <w:t>une priorité est accordée aux projets de CTA dont les collaborations avec des CDC et/ou des CDR et/ou d'autres CTA sont formalisées</w:t>
      </w:r>
    </w:p>
    <w:p>
      <w:pPr>
        <w:numPr>
          <w:ilvl w:val="0"/>
          <w:numId w:val="52"/>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t>une priorité est accordée aux projets de CTA pour lesquels aucun CDC, CDR ou CTA n'existe</w:t>
      </w:r>
    </w:p>
    <w:p>
      <w:pPr>
        <w:numPr>
          <w:ilvl w:val="0"/>
          <w:numId w:val="52"/>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t>une priorité est accordée aux projets de CTA dans les secteurs pour lesquels des pénuries d'emploi sont constatées</w:t>
      </w:r>
    </w:p>
    <w:p>
      <w:pPr>
        <w:numPr>
          <w:ilvl w:val="0"/>
          <w:numId w:val="52"/>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t>une priorité est accordée aux projets de CTA ayant reçu un avis favorable de la part du fonds sectoriel concerné et du Bassin Enseignement qualifiant – Formation – Emploi concerné sur la pertinence sectorielle et géographique des acquisitions</w:t>
      </w:r>
    </w:p>
    <w:p>
      <w:pPr>
        <w:numPr>
          <w:ilvl w:val="0"/>
          <w:numId w:val="52"/>
        </w:numPr>
        <w:autoSpaceDE w:val="0"/>
        <w:autoSpaceDN w:val="0"/>
        <w:adjustRightInd w:val="0"/>
        <w:spacing w:after="120"/>
        <w:ind w:left="714" w:hanging="357"/>
        <w:jc w:val="both"/>
        <w:rPr>
          <w:rFonts w:ascii="Calibri" w:hAnsi="Calibri" w:cs="Calibri"/>
          <w:sz w:val="20"/>
          <w:szCs w:val="20"/>
          <w:lang w:eastAsia="fr-BE"/>
        </w:rPr>
      </w:pPr>
      <w:r>
        <w:rPr>
          <w:rFonts w:ascii="Calibri" w:hAnsi="Calibri" w:cs="Calibri"/>
          <w:sz w:val="20"/>
          <w:szCs w:val="20"/>
          <w:lang w:eastAsia="fr-BE"/>
        </w:rPr>
        <w:t>une priorité est enfin accordée aux projets de CTA ayant reçu un avis favorable du Conseil de zone de l'enseignement non confessionnel et du Conseil de zone de l'enseignement confessionnel de la zone de concertation concernée.</w:t>
      </w:r>
    </w:p>
    <w:p>
      <w:pPr>
        <w:autoSpaceDE w:val="0"/>
        <w:autoSpaceDN w:val="0"/>
        <w:adjustRightInd w:val="0"/>
        <w:spacing w:after="120"/>
        <w:jc w:val="both"/>
        <w:rPr>
          <w:rFonts w:ascii="Calibri" w:hAnsi="Calibri" w:cs="Calibri"/>
          <w:sz w:val="20"/>
          <w:szCs w:val="20"/>
          <w:lang w:eastAsia="fr-BE"/>
        </w:rPr>
      </w:pPr>
      <w:r>
        <w:rPr>
          <w:rFonts w:ascii="Calibri" w:hAnsi="Calibri" w:cs="Calibri"/>
          <w:sz w:val="20"/>
          <w:szCs w:val="20"/>
          <w:lang w:eastAsia="fr-BE"/>
        </w:rPr>
        <w:t>La procédure de sélection et de labellisation des CTA, détaillée à l’article 1</w:t>
      </w:r>
      <w:r>
        <w:rPr>
          <w:rFonts w:ascii="Calibri" w:hAnsi="Calibri" w:cs="Calibri"/>
          <w:sz w:val="20"/>
          <w:szCs w:val="20"/>
          <w:vertAlign w:val="superscript"/>
          <w:lang w:eastAsia="fr-BE"/>
        </w:rPr>
        <w:t>er</w:t>
      </w:r>
      <w:r>
        <w:rPr>
          <w:rFonts w:ascii="Calibri" w:hAnsi="Calibri" w:cs="Calibri"/>
          <w:sz w:val="20"/>
          <w:szCs w:val="20"/>
          <w:lang w:eastAsia="fr-BE"/>
        </w:rPr>
        <w:t xml:space="preserve"> du décret du 11 avril 2014, sera lancée, le cas échéant, par l’administration via la publication d’une circulaire.</w:t>
      </w:r>
    </w:p>
    <w:p>
      <w:pPr>
        <w:autoSpaceDE w:val="0"/>
        <w:autoSpaceDN w:val="0"/>
        <w:adjustRightInd w:val="0"/>
        <w:spacing w:after="120"/>
        <w:jc w:val="both"/>
        <w:rPr>
          <w:rFonts w:ascii="Calibri" w:hAnsi="Calibri" w:cs="Calibri"/>
          <w:sz w:val="20"/>
          <w:szCs w:val="20"/>
        </w:rPr>
      </w:pPr>
      <w:r>
        <w:rPr>
          <w:rFonts w:ascii="Calibri" w:hAnsi="Calibri" w:cs="Calibri"/>
          <w:sz w:val="20"/>
          <w:szCs w:val="20"/>
          <w:lang w:eastAsia="fr-BE"/>
        </w:rPr>
        <w:t>Le réseau des CTA labellisés est coordonné par le Gouvernement de la Fédération Wallonie-Bruxelles. Pour assurer ses missions de coordination, le Gouvernement de la Fédération Wallonie-Bruxelles est assisté par la Direction générale de l'enseignement obligatoire.</w:t>
      </w:r>
    </w:p>
    <w:p>
      <w:pPr>
        <w:numPr>
          <w:ilvl w:val="0"/>
          <w:numId w:val="2"/>
        </w:numPr>
        <w:tabs>
          <w:tab w:val="clear" w:pos="720"/>
          <w:tab w:val="num" w:pos="426"/>
        </w:tabs>
        <w:spacing w:before="360" w:after="360"/>
        <w:ind w:left="425" w:hanging="425"/>
        <w:jc w:val="both"/>
        <w:rPr>
          <w:rFonts w:ascii="Calibri" w:hAnsi="Calibri" w:cs="Calibri"/>
          <w:b/>
          <w:smallCaps/>
          <w:sz w:val="40"/>
          <w:szCs w:val="40"/>
          <w:u w:val="single"/>
        </w:rPr>
      </w:pPr>
      <w:r>
        <w:rPr>
          <w:rFonts w:ascii="Calibri" w:hAnsi="Calibri" w:cs="Calibri"/>
          <w:b/>
          <w:smallCaps/>
          <w:sz w:val="40"/>
          <w:szCs w:val="40"/>
          <w:u w:val="single"/>
        </w:rPr>
        <w:t>Missions</w:t>
      </w:r>
    </w:p>
    <w:p>
      <w:pPr>
        <w:spacing w:after="120"/>
        <w:jc w:val="both"/>
        <w:rPr>
          <w:rFonts w:ascii="Calibri" w:hAnsi="Calibri" w:cs="Calibri"/>
          <w:sz w:val="20"/>
          <w:szCs w:val="20"/>
        </w:rPr>
      </w:pPr>
      <w:r>
        <w:rPr>
          <w:rFonts w:ascii="Calibri" w:hAnsi="Calibri" w:cs="Calibri"/>
          <w:sz w:val="20"/>
          <w:szCs w:val="20"/>
        </w:rPr>
        <w:t>Les CTA de la Fédération Wallonie-Bruxelles ont pour missions :</w:t>
      </w:r>
    </w:p>
    <w:p>
      <w:pPr>
        <w:numPr>
          <w:ilvl w:val="0"/>
          <w:numId w:val="24"/>
        </w:numPr>
        <w:spacing w:after="120"/>
        <w:jc w:val="both"/>
        <w:rPr>
          <w:rFonts w:ascii="Calibri" w:hAnsi="Calibri" w:cs="Calibri"/>
          <w:sz w:val="20"/>
          <w:szCs w:val="20"/>
        </w:rPr>
      </w:pPr>
      <w:r>
        <w:rPr>
          <w:rFonts w:ascii="Calibri" w:hAnsi="Calibri" w:cs="Calibri"/>
          <w:sz w:val="20"/>
          <w:szCs w:val="20"/>
        </w:rPr>
        <w:t>de participer à l’amélioration de la qualité de la formation dispensée par les filières qualifiantes, à la refondation de l’enseignement qualifiant et au développement, au sein de la Fédération Wallonie-Bruxelles, d’une politique cohérente en matière d’investissements en équipements pédagogiques</w:t>
      </w:r>
    </w:p>
    <w:p>
      <w:pPr>
        <w:numPr>
          <w:ilvl w:val="0"/>
          <w:numId w:val="24"/>
        </w:numPr>
        <w:spacing w:after="120"/>
        <w:jc w:val="both"/>
        <w:rPr>
          <w:rFonts w:ascii="Calibri" w:hAnsi="Calibri" w:cs="Calibri"/>
          <w:sz w:val="20"/>
          <w:szCs w:val="20"/>
        </w:rPr>
      </w:pPr>
      <w:r>
        <w:rPr>
          <w:rFonts w:ascii="Calibri" w:hAnsi="Calibri" w:cs="Calibri"/>
          <w:sz w:val="20"/>
          <w:szCs w:val="20"/>
        </w:rPr>
        <w:t>de mettre à disposition de leurs publics du matériel pédagogique de qualité</w:t>
      </w:r>
    </w:p>
    <w:p>
      <w:pPr>
        <w:numPr>
          <w:ilvl w:val="0"/>
          <w:numId w:val="24"/>
        </w:numPr>
        <w:spacing w:after="120"/>
        <w:jc w:val="both"/>
        <w:rPr>
          <w:rFonts w:ascii="Calibri" w:hAnsi="Calibri" w:cs="Calibri"/>
          <w:sz w:val="20"/>
          <w:szCs w:val="20"/>
        </w:rPr>
      </w:pPr>
      <w:r>
        <w:rPr>
          <w:rFonts w:ascii="Calibri" w:hAnsi="Calibri" w:cs="Calibri"/>
          <w:sz w:val="20"/>
          <w:szCs w:val="20"/>
        </w:rPr>
        <w:t>de proposer des dispositifs complémentaires de formation à destination des enseignants et de leurs élèves, quels que soient le réseau et le caractère d’enseignement</w:t>
      </w:r>
    </w:p>
    <w:p>
      <w:pPr>
        <w:numPr>
          <w:ilvl w:val="0"/>
          <w:numId w:val="24"/>
        </w:numPr>
        <w:spacing w:after="120"/>
        <w:jc w:val="both"/>
        <w:rPr>
          <w:rFonts w:ascii="Calibri" w:hAnsi="Calibri" w:cs="Calibri"/>
          <w:sz w:val="20"/>
          <w:szCs w:val="20"/>
        </w:rPr>
      </w:pPr>
      <w:r>
        <w:rPr>
          <w:rFonts w:ascii="Calibri" w:hAnsi="Calibri" w:cs="Calibri"/>
          <w:sz w:val="20"/>
          <w:szCs w:val="20"/>
        </w:rPr>
        <w:t>de proposer une offre de formation complémentaire aux réseaux des CDC et des CDR, tant au niveau thématique que pédagogique ou géographique</w:t>
      </w:r>
    </w:p>
    <w:p>
      <w:pPr>
        <w:numPr>
          <w:ilvl w:val="0"/>
          <w:numId w:val="24"/>
        </w:numPr>
        <w:spacing w:after="120"/>
        <w:jc w:val="both"/>
        <w:rPr>
          <w:rFonts w:ascii="Calibri" w:hAnsi="Calibri" w:cs="Calibri"/>
          <w:sz w:val="20"/>
          <w:szCs w:val="20"/>
        </w:rPr>
      </w:pPr>
      <w:r>
        <w:rPr>
          <w:rFonts w:ascii="Calibri" w:hAnsi="Calibri" w:cs="Calibri"/>
          <w:sz w:val="20"/>
          <w:szCs w:val="20"/>
        </w:rPr>
        <w:t>d’établir :</w:t>
      </w:r>
    </w:p>
    <w:p>
      <w:pPr>
        <w:numPr>
          <w:ilvl w:val="0"/>
          <w:numId w:val="25"/>
        </w:numPr>
        <w:tabs>
          <w:tab w:val="clear" w:pos="2160"/>
          <w:tab w:val="num" w:pos="1134"/>
        </w:tabs>
        <w:spacing w:after="120"/>
        <w:ind w:left="1134" w:hanging="357"/>
        <w:jc w:val="both"/>
        <w:rPr>
          <w:rFonts w:ascii="Calibri" w:hAnsi="Calibri" w:cs="Calibri"/>
          <w:sz w:val="20"/>
          <w:szCs w:val="20"/>
        </w:rPr>
      </w:pPr>
      <w:r>
        <w:rPr>
          <w:rFonts w:ascii="Calibri" w:hAnsi="Calibri" w:cs="Calibri"/>
          <w:sz w:val="20"/>
          <w:szCs w:val="20"/>
        </w:rPr>
        <w:t>un descriptif de convergence avec les proﬁls de formation concernés,</w:t>
      </w:r>
    </w:p>
    <w:p>
      <w:pPr>
        <w:numPr>
          <w:ilvl w:val="0"/>
          <w:numId w:val="25"/>
        </w:numPr>
        <w:tabs>
          <w:tab w:val="clear" w:pos="2160"/>
          <w:tab w:val="num" w:pos="1134"/>
        </w:tabs>
        <w:spacing w:after="120"/>
        <w:ind w:left="1134" w:hanging="357"/>
        <w:jc w:val="both"/>
        <w:rPr>
          <w:rFonts w:ascii="Calibri" w:hAnsi="Calibri" w:cs="Calibri"/>
          <w:sz w:val="20"/>
          <w:szCs w:val="20"/>
        </w:rPr>
      </w:pPr>
      <w:r>
        <w:rPr>
          <w:rFonts w:ascii="Calibri" w:hAnsi="Calibri" w:cs="Calibri"/>
          <w:sz w:val="20"/>
          <w:szCs w:val="20"/>
        </w:rPr>
        <w:t>un descriptif des compétences requises de la part des enseignants/formateurs,</w:t>
      </w:r>
    </w:p>
    <w:p>
      <w:pPr>
        <w:numPr>
          <w:ilvl w:val="0"/>
          <w:numId w:val="25"/>
        </w:numPr>
        <w:tabs>
          <w:tab w:val="clear" w:pos="2160"/>
          <w:tab w:val="num" w:pos="1134"/>
        </w:tabs>
        <w:spacing w:after="120"/>
        <w:ind w:left="1134" w:hanging="357"/>
        <w:jc w:val="both"/>
        <w:rPr>
          <w:rFonts w:ascii="Calibri" w:hAnsi="Calibri" w:cs="Calibri"/>
          <w:sz w:val="20"/>
          <w:szCs w:val="20"/>
        </w:rPr>
      </w:pPr>
      <w:r>
        <w:rPr>
          <w:rFonts w:ascii="Calibri" w:hAnsi="Calibri" w:cs="Calibri"/>
          <w:sz w:val="20"/>
          <w:szCs w:val="20"/>
        </w:rPr>
        <w:t>un plan de formation en collaboration avec les centres de compétence et l'Institut de Formation Continuée et des associations pour la formation continuée des enseignants telles que FORCAR ou FCC</w:t>
      </w:r>
    </w:p>
    <w:p>
      <w:pPr>
        <w:numPr>
          <w:ilvl w:val="0"/>
          <w:numId w:val="26"/>
        </w:numPr>
        <w:spacing w:after="120"/>
        <w:ind w:hanging="357"/>
        <w:jc w:val="both"/>
        <w:rPr>
          <w:rFonts w:ascii="Calibri" w:hAnsi="Calibri" w:cs="Calibri"/>
          <w:sz w:val="20"/>
          <w:szCs w:val="20"/>
        </w:rPr>
      </w:pPr>
      <w:r>
        <w:rPr>
          <w:rFonts w:ascii="Calibri" w:hAnsi="Calibri" w:cs="Calibri"/>
          <w:sz w:val="20"/>
          <w:szCs w:val="20"/>
        </w:rPr>
        <w:t>d’établir un programme de découverte d’un ou plusieurs métiers à destination des élèves du dernier cycle de l’enseignement primaire et du premier degré de l’enseignement secondaire.</w:t>
      </w:r>
    </w:p>
    <w:p>
      <w:pPr>
        <w:numPr>
          <w:ilvl w:val="0"/>
          <w:numId w:val="2"/>
        </w:numPr>
        <w:tabs>
          <w:tab w:val="clear" w:pos="720"/>
          <w:tab w:val="num" w:pos="426"/>
        </w:tabs>
        <w:spacing w:before="360" w:after="360"/>
        <w:ind w:left="425" w:hanging="425"/>
        <w:jc w:val="both"/>
        <w:rPr>
          <w:rFonts w:ascii="Calibri" w:hAnsi="Calibri" w:cs="Calibri"/>
          <w:b/>
          <w:smallCaps/>
          <w:sz w:val="40"/>
          <w:szCs w:val="40"/>
          <w:u w:val="single"/>
        </w:rPr>
      </w:pPr>
      <w:r>
        <w:rPr>
          <w:rFonts w:ascii="Calibri" w:hAnsi="Calibri" w:cs="Calibri"/>
          <w:b/>
          <w:smallCaps/>
          <w:sz w:val="40"/>
          <w:szCs w:val="40"/>
          <w:u w:val="single"/>
        </w:rPr>
        <w:t>Publics-cibles</w:t>
      </w:r>
    </w:p>
    <w:p>
      <w:pPr>
        <w:spacing w:after="120"/>
        <w:jc w:val="both"/>
        <w:rPr>
          <w:rFonts w:ascii="Calibri" w:hAnsi="Calibri" w:cs="Calibri"/>
          <w:sz w:val="20"/>
          <w:szCs w:val="20"/>
        </w:rPr>
      </w:pPr>
      <w:r>
        <w:rPr>
          <w:rFonts w:ascii="Calibri" w:hAnsi="Calibri" w:cs="Calibri"/>
          <w:sz w:val="20"/>
          <w:szCs w:val="20"/>
        </w:rPr>
        <w:t>Chaque CTA labellisé accueille sans discrimination :</w:t>
      </w:r>
    </w:p>
    <w:p>
      <w:pPr>
        <w:numPr>
          <w:ilvl w:val="0"/>
          <w:numId w:val="26"/>
        </w:numPr>
        <w:spacing w:after="120"/>
        <w:jc w:val="both"/>
        <w:rPr>
          <w:rFonts w:ascii="Calibri" w:hAnsi="Calibri" w:cs="Calibri"/>
          <w:sz w:val="20"/>
          <w:szCs w:val="20"/>
        </w:rPr>
      </w:pPr>
      <w:r>
        <w:rPr>
          <w:rFonts w:ascii="Calibri" w:hAnsi="Calibri" w:cs="Calibri"/>
          <w:sz w:val="20"/>
          <w:szCs w:val="20"/>
        </w:rPr>
        <w:t>les élèves et enseignants de l’enseignement secondaire qualifiant, à savoir :</w:t>
      </w:r>
    </w:p>
    <w:p>
      <w:pPr>
        <w:numPr>
          <w:ilvl w:val="0"/>
          <w:numId w:val="25"/>
        </w:numPr>
        <w:tabs>
          <w:tab w:val="clear" w:pos="2160"/>
          <w:tab w:val="num" w:pos="1134"/>
        </w:tabs>
        <w:spacing w:after="120"/>
        <w:ind w:left="1134" w:hanging="357"/>
        <w:jc w:val="both"/>
        <w:rPr>
          <w:rFonts w:ascii="Calibri" w:hAnsi="Calibri" w:cs="Calibri"/>
          <w:sz w:val="20"/>
          <w:szCs w:val="20"/>
        </w:rPr>
      </w:pPr>
      <w:r>
        <w:rPr>
          <w:rFonts w:ascii="Calibri" w:hAnsi="Calibri" w:cs="Calibri"/>
          <w:sz w:val="20"/>
          <w:szCs w:val="20"/>
        </w:rPr>
        <w:t>la 4</w:t>
      </w:r>
      <w:r>
        <w:rPr>
          <w:rFonts w:ascii="Calibri" w:hAnsi="Calibri" w:cs="Calibri"/>
          <w:sz w:val="20"/>
          <w:szCs w:val="20"/>
          <w:vertAlign w:val="superscript"/>
        </w:rPr>
        <w:t>e</w:t>
      </w:r>
      <w:r>
        <w:rPr>
          <w:rFonts w:ascii="Calibri" w:hAnsi="Calibri" w:cs="Calibri"/>
          <w:sz w:val="20"/>
          <w:szCs w:val="20"/>
        </w:rPr>
        <w:t xml:space="preserve"> année de l’enseignement secondaire ordinaire et spécialisé de forme 4 organisée dans le régime de la CPU (</w:t>
      </w:r>
      <w:r>
        <w:rPr>
          <w:rFonts w:ascii="Calibri" w:hAnsi="Calibri" w:cs="Calibri"/>
          <w:b/>
          <w:sz w:val="20"/>
          <w:szCs w:val="20"/>
          <w:u w:val="single"/>
        </w:rPr>
        <w:t>à partir du 1</w:t>
      </w:r>
      <w:r>
        <w:rPr>
          <w:rFonts w:ascii="Calibri" w:hAnsi="Calibri" w:cs="Calibri"/>
          <w:b/>
          <w:sz w:val="20"/>
          <w:szCs w:val="20"/>
          <w:u w:val="single"/>
          <w:vertAlign w:val="superscript"/>
        </w:rPr>
        <w:t>er</w:t>
      </w:r>
      <w:r>
        <w:rPr>
          <w:rFonts w:ascii="Calibri" w:hAnsi="Calibri" w:cs="Calibri"/>
          <w:b/>
          <w:sz w:val="20"/>
          <w:szCs w:val="20"/>
          <w:u w:val="single"/>
        </w:rPr>
        <w:t xml:space="preserve"> septembre 2018</w:t>
      </w:r>
      <w:r>
        <w:rPr>
          <w:rFonts w:ascii="Calibri" w:hAnsi="Calibri" w:cs="Calibri"/>
          <w:sz w:val="20"/>
          <w:szCs w:val="20"/>
        </w:rPr>
        <w:t>)</w:t>
      </w:r>
    </w:p>
    <w:p>
      <w:pPr>
        <w:rPr>
          <w:rFonts w:ascii="Calibri" w:hAnsi="Calibri" w:cs="Calibri"/>
          <w:sz w:val="20"/>
          <w:szCs w:val="20"/>
        </w:rPr>
      </w:pPr>
      <w:r>
        <w:rPr>
          <w:rFonts w:ascii="Calibri" w:hAnsi="Calibri" w:cs="Calibri"/>
          <w:sz w:val="20"/>
          <w:szCs w:val="20"/>
        </w:rPr>
        <w:br w:type="page"/>
      </w:r>
    </w:p>
    <w:p>
      <w:pPr>
        <w:numPr>
          <w:ilvl w:val="0"/>
          <w:numId w:val="25"/>
        </w:numPr>
        <w:tabs>
          <w:tab w:val="clear" w:pos="2160"/>
          <w:tab w:val="num" w:pos="1134"/>
        </w:tabs>
        <w:spacing w:after="120"/>
        <w:ind w:left="1134" w:hanging="357"/>
        <w:jc w:val="both"/>
        <w:rPr>
          <w:rFonts w:ascii="Calibri" w:hAnsi="Calibri" w:cs="Calibri"/>
          <w:sz w:val="20"/>
          <w:szCs w:val="20"/>
        </w:rPr>
      </w:pPr>
      <w:r>
        <w:rPr>
          <w:rFonts w:ascii="Calibri" w:hAnsi="Calibri" w:cs="Calibri"/>
          <w:sz w:val="20"/>
          <w:szCs w:val="20"/>
        </w:rPr>
        <w:lastRenderedPageBreak/>
        <w:t>les 3</w:t>
      </w:r>
      <w:r>
        <w:rPr>
          <w:rFonts w:ascii="Calibri" w:hAnsi="Calibri" w:cs="Calibri"/>
          <w:sz w:val="20"/>
          <w:szCs w:val="20"/>
          <w:vertAlign w:val="superscript"/>
        </w:rPr>
        <w:t>e</w:t>
      </w:r>
      <w:r>
        <w:rPr>
          <w:rFonts w:ascii="Calibri" w:hAnsi="Calibri" w:cs="Calibri"/>
          <w:sz w:val="20"/>
          <w:szCs w:val="20"/>
        </w:rPr>
        <w:t xml:space="preserve"> et 4</w:t>
      </w:r>
      <w:r>
        <w:rPr>
          <w:rFonts w:ascii="Calibri" w:hAnsi="Calibri" w:cs="Calibri"/>
          <w:sz w:val="20"/>
          <w:szCs w:val="20"/>
          <w:vertAlign w:val="superscript"/>
        </w:rPr>
        <w:t>e</w:t>
      </w:r>
      <w:r>
        <w:rPr>
          <w:rFonts w:ascii="Calibri" w:hAnsi="Calibri" w:cs="Calibri"/>
          <w:sz w:val="20"/>
          <w:szCs w:val="20"/>
        </w:rPr>
        <w:t xml:space="preserve"> degrés des options techniques de qualification et professionnelles de l’enseignement secondaire ordinaire de plein exercice et en alternance</w:t>
      </w:r>
    </w:p>
    <w:p>
      <w:pPr>
        <w:numPr>
          <w:ilvl w:val="0"/>
          <w:numId w:val="25"/>
        </w:numPr>
        <w:tabs>
          <w:tab w:val="clear" w:pos="2160"/>
          <w:tab w:val="num" w:pos="1134"/>
        </w:tabs>
        <w:spacing w:after="120"/>
        <w:ind w:left="1134" w:hanging="357"/>
        <w:jc w:val="both"/>
        <w:rPr>
          <w:rFonts w:ascii="Calibri" w:hAnsi="Calibri" w:cs="Calibri"/>
          <w:sz w:val="20"/>
          <w:szCs w:val="20"/>
        </w:rPr>
      </w:pPr>
      <w:r>
        <w:rPr>
          <w:rFonts w:ascii="Calibri" w:hAnsi="Calibri" w:cs="Calibri"/>
          <w:sz w:val="20"/>
          <w:szCs w:val="20"/>
        </w:rPr>
        <w:t>le 3</w:t>
      </w:r>
      <w:r>
        <w:rPr>
          <w:rFonts w:ascii="Calibri" w:hAnsi="Calibri" w:cs="Calibri"/>
          <w:sz w:val="20"/>
          <w:szCs w:val="20"/>
          <w:vertAlign w:val="superscript"/>
        </w:rPr>
        <w:t>e</w:t>
      </w:r>
      <w:r>
        <w:rPr>
          <w:rFonts w:ascii="Calibri" w:hAnsi="Calibri" w:cs="Calibri"/>
          <w:sz w:val="20"/>
          <w:szCs w:val="20"/>
        </w:rPr>
        <w:t xml:space="preserve"> degré des options techniques de qualification et professionnelles de l’enseignement secondaire spécialisé de forme 4 de plein exercice et en alternance</w:t>
      </w:r>
    </w:p>
    <w:p>
      <w:pPr>
        <w:numPr>
          <w:ilvl w:val="0"/>
          <w:numId w:val="25"/>
        </w:numPr>
        <w:tabs>
          <w:tab w:val="clear" w:pos="2160"/>
          <w:tab w:val="num" w:pos="1134"/>
        </w:tabs>
        <w:spacing w:after="120"/>
        <w:ind w:left="1134"/>
        <w:jc w:val="both"/>
        <w:rPr>
          <w:rFonts w:ascii="Calibri" w:hAnsi="Calibri" w:cs="Calibri"/>
          <w:sz w:val="20"/>
          <w:szCs w:val="20"/>
        </w:rPr>
      </w:pPr>
      <w:r>
        <w:rPr>
          <w:rFonts w:ascii="Calibri" w:hAnsi="Calibri" w:cs="Calibri"/>
          <w:sz w:val="20"/>
          <w:szCs w:val="20"/>
        </w:rPr>
        <w:t>la 3</w:t>
      </w:r>
      <w:r>
        <w:rPr>
          <w:rFonts w:ascii="Calibri" w:hAnsi="Calibri" w:cs="Calibri"/>
          <w:sz w:val="20"/>
          <w:szCs w:val="20"/>
          <w:vertAlign w:val="superscript"/>
        </w:rPr>
        <w:t>e</w:t>
      </w:r>
      <w:r>
        <w:rPr>
          <w:rFonts w:ascii="Calibri" w:hAnsi="Calibri" w:cs="Calibri"/>
          <w:sz w:val="20"/>
          <w:szCs w:val="20"/>
        </w:rPr>
        <w:t xml:space="preserve"> phase de l’enseignement secondaire spécialisé de forme 3 de plein exercice et en alternance</w:t>
      </w:r>
    </w:p>
    <w:p>
      <w:pPr>
        <w:numPr>
          <w:ilvl w:val="0"/>
          <w:numId w:val="26"/>
        </w:numPr>
        <w:spacing w:after="120"/>
        <w:jc w:val="both"/>
        <w:rPr>
          <w:rFonts w:ascii="Calibri" w:hAnsi="Calibri" w:cs="Calibri"/>
          <w:sz w:val="20"/>
          <w:szCs w:val="20"/>
        </w:rPr>
      </w:pPr>
      <w:r>
        <w:rPr>
          <w:rFonts w:ascii="Calibri" w:hAnsi="Calibri" w:cs="Calibri"/>
          <w:sz w:val="20"/>
          <w:szCs w:val="20"/>
        </w:rPr>
        <w:t>les élèves et enseignants du 3</w:t>
      </w:r>
      <w:r>
        <w:rPr>
          <w:rFonts w:ascii="Calibri" w:hAnsi="Calibri" w:cs="Calibri"/>
          <w:sz w:val="20"/>
          <w:szCs w:val="20"/>
          <w:vertAlign w:val="superscript"/>
        </w:rPr>
        <w:t>e</w:t>
      </w:r>
      <w:r>
        <w:rPr>
          <w:rFonts w:ascii="Calibri" w:hAnsi="Calibri" w:cs="Calibri"/>
          <w:sz w:val="20"/>
          <w:szCs w:val="20"/>
        </w:rPr>
        <w:t xml:space="preserve"> degré de l’enseignement technique de la section de transition de l’enseignement secondaire ordinaire</w:t>
      </w:r>
    </w:p>
    <w:p>
      <w:pPr>
        <w:numPr>
          <w:ilvl w:val="0"/>
          <w:numId w:val="26"/>
        </w:numPr>
        <w:spacing w:after="120"/>
        <w:jc w:val="both"/>
        <w:rPr>
          <w:rFonts w:ascii="Calibri" w:hAnsi="Calibri" w:cs="Calibri"/>
          <w:sz w:val="20"/>
          <w:szCs w:val="20"/>
        </w:rPr>
      </w:pPr>
      <w:r>
        <w:rPr>
          <w:rFonts w:ascii="Calibri" w:hAnsi="Calibri" w:cs="Calibri"/>
          <w:sz w:val="20"/>
          <w:szCs w:val="20"/>
        </w:rPr>
        <w:t>les étudiants et les enseignants de l’enseignement de promotion sociale</w:t>
      </w:r>
    </w:p>
    <w:p>
      <w:pPr>
        <w:numPr>
          <w:ilvl w:val="0"/>
          <w:numId w:val="26"/>
        </w:numPr>
        <w:spacing w:after="120"/>
        <w:jc w:val="both"/>
        <w:rPr>
          <w:rFonts w:ascii="Calibri" w:hAnsi="Calibri" w:cs="Calibri"/>
          <w:sz w:val="20"/>
          <w:szCs w:val="20"/>
        </w:rPr>
      </w:pPr>
      <w:r>
        <w:rPr>
          <w:rFonts w:ascii="Calibri" w:hAnsi="Calibri" w:cs="Calibri"/>
          <w:sz w:val="20"/>
          <w:szCs w:val="20"/>
        </w:rPr>
        <w:t>les étudiants et les enseignants de l’enseignement supérieur</w:t>
      </w:r>
    </w:p>
    <w:p>
      <w:pPr>
        <w:numPr>
          <w:ilvl w:val="0"/>
          <w:numId w:val="26"/>
        </w:numPr>
        <w:spacing w:after="120"/>
        <w:jc w:val="both"/>
        <w:rPr>
          <w:rFonts w:ascii="Calibri" w:hAnsi="Calibri" w:cs="Calibri"/>
          <w:sz w:val="20"/>
          <w:szCs w:val="20"/>
        </w:rPr>
      </w:pPr>
      <w:r>
        <w:rPr>
          <w:rFonts w:ascii="Calibri" w:hAnsi="Calibri" w:cs="Calibri"/>
          <w:sz w:val="20"/>
          <w:szCs w:val="20"/>
        </w:rPr>
        <w:t>les apprenants et les formateurs de l’IFAPME et du SFPME, ainsi que de l’AWIPH (uniquement en Région wallonne)</w:t>
      </w:r>
    </w:p>
    <w:p>
      <w:pPr>
        <w:numPr>
          <w:ilvl w:val="0"/>
          <w:numId w:val="26"/>
        </w:numPr>
        <w:spacing w:after="120"/>
        <w:jc w:val="both"/>
        <w:rPr>
          <w:rFonts w:ascii="Calibri" w:hAnsi="Calibri" w:cs="Calibri"/>
          <w:sz w:val="20"/>
          <w:szCs w:val="20"/>
        </w:rPr>
      </w:pPr>
      <w:r>
        <w:rPr>
          <w:rFonts w:ascii="Calibri" w:hAnsi="Calibri" w:cs="Calibri"/>
          <w:sz w:val="20"/>
          <w:szCs w:val="20"/>
        </w:rPr>
        <w:t>les demandeurs d’emploi, par l’intermédiaire du Forem et de Bruxelles-Formation</w:t>
      </w:r>
    </w:p>
    <w:p>
      <w:pPr>
        <w:numPr>
          <w:ilvl w:val="0"/>
          <w:numId w:val="26"/>
        </w:numPr>
        <w:spacing w:after="120"/>
        <w:jc w:val="both"/>
        <w:rPr>
          <w:rFonts w:ascii="Calibri" w:hAnsi="Calibri" w:cs="Calibri"/>
          <w:sz w:val="20"/>
          <w:szCs w:val="20"/>
        </w:rPr>
      </w:pPr>
      <w:r>
        <w:rPr>
          <w:rFonts w:ascii="Calibri" w:hAnsi="Calibri" w:cs="Calibri"/>
          <w:sz w:val="20"/>
          <w:szCs w:val="20"/>
        </w:rPr>
        <w:t>les travailleurs</w:t>
      </w:r>
    </w:p>
    <w:p>
      <w:pPr>
        <w:spacing w:after="120"/>
        <w:jc w:val="both"/>
        <w:rPr>
          <w:rFonts w:ascii="Calibri" w:hAnsi="Calibri" w:cs="Calibri"/>
          <w:sz w:val="20"/>
          <w:szCs w:val="20"/>
        </w:rPr>
      </w:pPr>
      <w:r>
        <w:rPr>
          <w:rFonts w:ascii="Calibri" w:hAnsi="Calibri" w:cs="Calibri"/>
          <w:sz w:val="20"/>
          <w:szCs w:val="20"/>
        </w:rPr>
        <w:t>Les CTA accueillent également les élèves du dernier cycle de l’enseignement primaire et du 1</w:t>
      </w:r>
      <w:r>
        <w:rPr>
          <w:rFonts w:ascii="Calibri" w:hAnsi="Calibri" w:cs="Calibri"/>
          <w:sz w:val="20"/>
          <w:szCs w:val="20"/>
          <w:vertAlign w:val="superscript"/>
        </w:rPr>
        <w:t>er</w:t>
      </w:r>
      <w:r>
        <w:rPr>
          <w:rFonts w:ascii="Calibri" w:hAnsi="Calibri" w:cs="Calibri"/>
          <w:sz w:val="20"/>
          <w:szCs w:val="20"/>
        </w:rPr>
        <w:t xml:space="preserve"> degré de l’enseignement secondaire, dans le cadre d’une mission plus spécifique de promotion des métiers techniques.</w:t>
      </w:r>
    </w:p>
    <w:p>
      <w:pPr>
        <w:numPr>
          <w:ilvl w:val="0"/>
          <w:numId w:val="2"/>
        </w:numPr>
        <w:tabs>
          <w:tab w:val="clear" w:pos="720"/>
          <w:tab w:val="num" w:pos="426"/>
        </w:tabs>
        <w:spacing w:before="360" w:after="360"/>
        <w:ind w:left="425" w:hanging="425"/>
        <w:jc w:val="both"/>
        <w:rPr>
          <w:rFonts w:ascii="Calibri" w:hAnsi="Calibri" w:cs="Calibri"/>
          <w:b/>
          <w:smallCaps/>
          <w:sz w:val="40"/>
          <w:szCs w:val="40"/>
          <w:u w:val="single"/>
        </w:rPr>
      </w:pPr>
      <w:r>
        <w:rPr>
          <w:rFonts w:ascii="Calibri" w:hAnsi="Calibri" w:cs="Calibri"/>
          <w:b/>
          <w:smallCaps/>
          <w:sz w:val="40"/>
          <w:szCs w:val="40"/>
          <w:u w:val="single"/>
        </w:rPr>
        <w:t>Fonctionnement des CTA</w:t>
      </w:r>
    </w:p>
    <w:p>
      <w:pPr>
        <w:numPr>
          <w:ilvl w:val="1"/>
          <w:numId w:val="53"/>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t>Direction et gestion quotidienne du centre</w:t>
      </w:r>
    </w:p>
    <w:p>
      <w:pPr>
        <w:pStyle w:val="Paragraphedeliste"/>
        <w:numPr>
          <w:ilvl w:val="2"/>
          <w:numId w:val="53"/>
        </w:numPr>
        <w:tabs>
          <w:tab w:val="left" w:pos="709"/>
        </w:tabs>
        <w:spacing w:before="240" w:after="240"/>
        <w:ind w:left="709"/>
        <w:jc w:val="both"/>
        <w:rPr>
          <w:rFonts w:ascii="Calibri" w:hAnsi="Calibri" w:cs="Calibri"/>
          <w:b/>
          <w:sz w:val="28"/>
          <w:szCs w:val="28"/>
        </w:rPr>
      </w:pPr>
      <w:r>
        <w:rPr>
          <w:rFonts w:ascii="Calibri" w:hAnsi="Calibri" w:cs="Calibri"/>
          <w:b/>
          <w:sz w:val="28"/>
          <w:szCs w:val="28"/>
        </w:rPr>
        <w:t>Direction du CTA</w:t>
      </w:r>
    </w:p>
    <w:p>
      <w:pPr>
        <w:spacing w:after="120"/>
        <w:jc w:val="both"/>
        <w:rPr>
          <w:rFonts w:ascii="Calibri" w:hAnsi="Calibri" w:cs="Calibri"/>
          <w:sz w:val="20"/>
          <w:szCs w:val="20"/>
        </w:rPr>
      </w:pPr>
      <w:r>
        <w:rPr>
          <w:rFonts w:ascii="Calibri" w:hAnsi="Calibri" w:cs="Calibri"/>
          <w:sz w:val="20"/>
          <w:szCs w:val="20"/>
        </w:rPr>
        <w:t xml:space="preserve">Chaque CTA labellisé est placé sous la direction du chef de l’établissement dans lequel il se situe. </w:t>
      </w:r>
    </w:p>
    <w:p>
      <w:pPr>
        <w:pStyle w:val="Paragraphedeliste"/>
        <w:numPr>
          <w:ilvl w:val="2"/>
          <w:numId w:val="53"/>
        </w:numPr>
        <w:tabs>
          <w:tab w:val="left" w:pos="709"/>
        </w:tabs>
        <w:spacing w:before="240" w:after="240"/>
        <w:ind w:left="709"/>
        <w:jc w:val="both"/>
        <w:rPr>
          <w:rFonts w:ascii="Calibri" w:hAnsi="Calibri" w:cs="Calibri"/>
          <w:b/>
          <w:sz w:val="28"/>
          <w:szCs w:val="28"/>
        </w:rPr>
      </w:pPr>
      <w:r>
        <w:rPr>
          <w:rFonts w:ascii="Calibri" w:hAnsi="Calibri" w:cs="Calibri"/>
          <w:b/>
          <w:sz w:val="28"/>
          <w:szCs w:val="28"/>
        </w:rPr>
        <w:t>Equipe gestionnaire du CTA</w:t>
      </w:r>
    </w:p>
    <w:p>
      <w:pPr>
        <w:spacing w:after="120"/>
        <w:jc w:val="both"/>
        <w:rPr>
          <w:rFonts w:ascii="Calibri" w:hAnsi="Calibri" w:cs="Calibri"/>
          <w:sz w:val="20"/>
          <w:szCs w:val="20"/>
        </w:rPr>
      </w:pPr>
      <w:r>
        <w:rPr>
          <w:rFonts w:ascii="Calibri" w:hAnsi="Calibri" w:cs="Calibri"/>
          <w:sz w:val="20"/>
          <w:szCs w:val="20"/>
        </w:rPr>
        <w:t xml:space="preserve">Une équipe, composée d’un coordonnateur et d’un équivalent temps-plein formateur, gère l’organisation des formations et la gestion administrative du centre. </w:t>
      </w:r>
    </w:p>
    <w:p>
      <w:pPr>
        <w:pStyle w:val="Paragraphedeliste"/>
        <w:numPr>
          <w:ilvl w:val="3"/>
          <w:numId w:val="53"/>
        </w:numPr>
        <w:tabs>
          <w:tab w:val="left" w:pos="851"/>
        </w:tabs>
        <w:spacing w:before="240" w:after="240"/>
        <w:ind w:left="1134"/>
        <w:jc w:val="both"/>
        <w:rPr>
          <w:rFonts w:ascii="Calibri" w:hAnsi="Calibri" w:cs="Calibri"/>
          <w:i/>
          <w:u w:val="single"/>
        </w:rPr>
      </w:pPr>
      <w:r>
        <w:rPr>
          <w:rFonts w:ascii="Calibri" w:hAnsi="Calibri" w:cs="Calibri"/>
          <w:i/>
          <w:u w:val="single"/>
        </w:rPr>
        <w:t>Missions du coordonnateur CTA</w:t>
      </w:r>
    </w:p>
    <w:p>
      <w:pPr>
        <w:spacing w:after="120"/>
        <w:jc w:val="both"/>
        <w:rPr>
          <w:rFonts w:ascii="Calibri" w:hAnsi="Calibri" w:cs="Calibri"/>
          <w:sz w:val="20"/>
          <w:szCs w:val="20"/>
        </w:rPr>
      </w:pPr>
      <w:r>
        <w:rPr>
          <w:rFonts w:ascii="Calibri" w:hAnsi="Calibri" w:cs="Calibri"/>
          <w:sz w:val="20"/>
          <w:szCs w:val="20"/>
        </w:rPr>
        <w:t>Le coordonnateur CTA veille à la gestion quotidienne du centre. Il assurer les tâches et responsabilités suivantes :</w:t>
      </w:r>
    </w:p>
    <w:p>
      <w:pPr>
        <w:numPr>
          <w:ilvl w:val="0"/>
          <w:numId w:val="24"/>
        </w:numPr>
        <w:spacing w:after="120"/>
        <w:ind w:left="847"/>
        <w:jc w:val="both"/>
        <w:rPr>
          <w:rFonts w:asciiTheme="minorHAnsi" w:hAnsiTheme="minorHAnsi" w:cstheme="minorHAnsi"/>
          <w:sz w:val="20"/>
          <w:szCs w:val="20"/>
        </w:rPr>
      </w:pPr>
      <w:r>
        <w:rPr>
          <w:rFonts w:asciiTheme="minorHAnsi" w:hAnsiTheme="minorHAnsi" w:cstheme="minorHAnsi"/>
          <w:b/>
          <w:bCs/>
          <w:w w:val="110"/>
          <w:sz w:val="20"/>
          <w:szCs w:val="20"/>
        </w:rPr>
        <w:t>Assurer la gestion administrative du CTA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assure la partie administrative de la gestion du centre : rédaction du rapport annuel d’activités, suivi des fréquentations, suivi administratif du déroulement des formations (listes de présences, encodage, dossiers récapitulatifs, frais de déplacement, etc.)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rédiger les conventions d’occupation et assurer le suivi de leur signature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gérer la comptabilité du CTA en collaboration avec l’économe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collaborer avec l’Administration pour la conduite des marchés publics d’acquisition du matériel (rédaction clauses techniques, analyse des offres)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organiser, participer et assurer le secrétariat des réunions du comité d’accompagnement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organiser l’accueil des élèves en formation.</w:t>
      </w:r>
    </w:p>
    <w:p>
      <w:pPr>
        <w:rPr>
          <w:rFonts w:asciiTheme="minorHAnsi" w:hAnsiTheme="minorHAnsi" w:cstheme="minorHAnsi"/>
          <w:b/>
          <w:bCs/>
          <w:w w:val="110"/>
          <w:sz w:val="20"/>
          <w:szCs w:val="20"/>
        </w:rPr>
      </w:pPr>
      <w:r>
        <w:rPr>
          <w:rFonts w:asciiTheme="minorHAnsi" w:hAnsiTheme="minorHAnsi" w:cstheme="minorHAnsi"/>
          <w:b/>
          <w:bCs/>
          <w:w w:val="110"/>
          <w:sz w:val="20"/>
          <w:szCs w:val="20"/>
        </w:rPr>
        <w:br w:type="page"/>
      </w:r>
    </w:p>
    <w:p>
      <w:pPr>
        <w:numPr>
          <w:ilvl w:val="0"/>
          <w:numId w:val="24"/>
        </w:numPr>
        <w:spacing w:after="120"/>
        <w:ind w:left="847"/>
        <w:jc w:val="both"/>
        <w:rPr>
          <w:rFonts w:asciiTheme="minorHAnsi" w:hAnsiTheme="minorHAnsi" w:cstheme="minorHAnsi"/>
          <w:b/>
          <w:bCs/>
          <w:w w:val="110"/>
          <w:sz w:val="20"/>
          <w:szCs w:val="20"/>
        </w:rPr>
      </w:pPr>
      <w:r>
        <w:rPr>
          <w:rFonts w:asciiTheme="minorHAnsi" w:hAnsiTheme="minorHAnsi" w:cstheme="minorHAnsi"/>
          <w:b/>
          <w:bCs/>
          <w:w w:val="110"/>
          <w:sz w:val="20"/>
          <w:szCs w:val="20"/>
        </w:rPr>
        <w:lastRenderedPageBreak/>
        <w:t>Assurer la gestion pédagogique et éducative (en collaboration avec le formateur CTA)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planifier, organiser et suivre le bon déroulement des formations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veille à la bonne articulation des modules de formation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vérifier, en collaboration avec le chef d'établissement, la validité des compétences des formateurs.</w:t>
      </w:r>
    </w:p>
    <w:p>
      <w:pPr>
        <w:numPr>
          <w:ilvl w:val="0"/>
          <w:numId w:val="24"/>
        </w:numPr>
        <w:spacing w:after="120"/>
        <w:ind w:left="847"/>
        <w:jc w:val="both"/>
        <w:rPr>
          <w:rFonts w:asciiTheme="minorHAnsi" w:hAnsiTheme="minorHAnsi" w:cstheme="minorHAnsi"/>
          <w:b/>
          <w:bCs/>
          <w:w w:val="110"/>
          <w:sz w:val="20"/>
          <w:szCs w:val="20"/>
        </w:rPr>
      </w:pPr>
      <w:r>
        <w:rPr>
          <w:rFonts w:asciiTheme="minorHAnsi" w:hAnsiTheme="minorHAnsi" w:cstheme="minorHAnsi"/>
          <w:b/>
          <w:bCs/>
          <w:w w:val="110"/>
          <w:sz w:val="20"/>
          <w:szCs w:val="20"/>
        </w:rPr>
        <w:t>Assurer la gestion technique des équipements (en collaboration avec le formateur CTA)</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veiller au bon état de fonctionnement des équipements mis à disposition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se tenir informé de l’évolution des technologies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gérer les matières premières nécessaires aux formations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veiller à la sécurité des personnes et des biens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veiller, en collaboration avec le conseiller en prévention de l’établissement, au respect du code sur le bien-être au travail (Loi du 4 août 1996)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s’assurer du respect des législations spécifiques en matière de prévention des accidents du travail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dans le respect des réglementations spécifiques et en collaboration avec le conseiller en prévention de l’établissement, assurer la gestion et l’élimination des déchets produits lors des formations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veiller, après obtention des autorisations réglementairement requises, à l’aménagement, l’amélioration et l’embellissement des lieux de travail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gérer les relations avec les agents commerciaux et les fournisseurs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en collaboration avec l’économe de l’établissement scolaire, assurer le contrôle des inventaires relatifs aux matières premières, aux outillages et aux machines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s’assurer de l’exécution correcte des travaux de maintenance de premier niveau et d’entretien des machines, des outillages et des équipements, en adéquation avec les prescriptions des constructeurs.</w:t>
      </w:r>
    </w:p>
    <w:p>
      <w:pPr>
        <w:numPr>
          <w:ilvl w:val="0"/>
          <w:numId w:val="24"/>
        </w:numPr>
        <w:spacing w:after="120"/>
        <w:ind w:left="847"/>
        <w:jc w:val="both"/>
        <w:rPr>
          <w:rFonts w:asciiTheme="minorHAnsi" w:hAnsiTheme="minorHAnsi" w:cstheme="minorHAnsi"/>
          <w:b/>
          <w:bCs/>
          <w:w w:val="110"/>
          <w:sz w:val="20"/>
          <w:szCs w:val="20"/>
        </w:rPr>
      </w:pPr>
      <w:r>
        <w:rPr>
          <w:rFonts w:asciiTheme="minorHAnsi" w:hAnsiTheme="minorHAnsi" w:cstheme="minorHAnsi"/>
          <w:b/>
          <w:bCs/>
          <w:w w:val="110"/>
          <w:sz w:val="20"/>
          <w:szCs w:val="20"/>
        </w:rPr>
        <w:t>Assurer la gestion des relations avec les utilisateurs des CTA et les tiers</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contribuer activement à étendre la visibilité du centre en prenant toutes les actions de promotion que le Comité d’accompagnement juge pertinentes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accueillir tous les publics par les textes réglementaires sans discrimination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participer à l’organisation de la communication des informations et en assure la diffusion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veiller à garantir de saines collaborations, dans le respect des conventions ;</w:t>
      </w:r>
    </w:p>
    <w:p>
      <w:pPr>
        <w:numPr>
          <w:ilvl w:val="0"/>
          <w:numId w:val="25"/>
        </w:numPr>
        <w:tabs>
          <w:tab w:val="clear" w:pos="2160"/>
          <w:tab w:val="num" w:pos="1134"/>
        </w:tabs>
        <w:spacing w:after="120"/>
        <w:ind w:left="1130" w:hanging="357"/>
        <w:jc w:val="both"/>
        <w:rPr>
          <w:rFonts w:ascii="Calibri" w:hAnsi="Calibri"/>
          <w:sz w:val="20"/>
          <w:szCs w:val="20"/>
        </w:rPr>
      </w:pPr>
      <w:r>
        <w:rPr>
          <w:rFonts w:ascii="Calibri" w:hAnsi="Calibri"/>
          <w:sz w:val="20"/>
          <w:szCs w:val="20"/>
        </w:rPr>
        <w:t>établir et entretenir des contacts positifs avec les milieux socio-économiques locaux et régionaux, les secteurs et associations professionnelles, les entreprises, les Centres de Compétence et de Référence professionnelle et tout autre Centre de formation professionnelle concerné.</w:t>
      </w:r>
    </w:p>
    <w:p>
      <w:pPr>
        <w:pStyle w:val="Paragraphedeliste"/>
        <w:numPr>
          <w:ilvl w:val="3"/>
          <w:numId w:val="53"/>
        </w:numPr>
        <w:tabs>
          <w:tab w:val="left" w:pos="851"/>
        </w:tabs>
        <w:spacing w:before="240" w:after="240"/>
        <w:ind w:left="1134"/>
        <w:jc w:val="both"/>
        <w:rPr>
          <w:rFonts w:ascii="Calibri" w:hAnsi="Calibri" w:cs="Calibri"/>
          <w:i/>
          <w:u w:val="single"/>
        </w:rPr>
      </w:pPr>
      <w:r>
        <w:rPr>
          <w:rFonts w:ascii="Calibri" w:hAnsi="Calibri" w:cs="Calibri"/>
          <w:i/>
          <w:u w:val="single"/>
        </w:rPr>
        <w:t>Missions du formateur CTA</w:t>
      </w:r>
    </w:p>
    <w:p>
      <w:pPr>
        <w:spacing w:after="120"/>
        <w:jc w:val="both"/>
        <w:rPr>
          <w:rFonts w:ascii="Calibri" w:hAnsi="Calibri" w:cs="Calibri"/>
          <w:sz w:val="20"/>
          <w:szCs w:val="20"/>
        </w:rPr>
      </w:pPr>
      <w:r>
        <w:rPr>
          <w:rFonts w:ascii="Calibri" w:hAnsi="Calibri" w:cs="Calibri"/>
          <w:sz w:val="20"/>
          <w:szCs w:val="20"/>
        </w:rPr>
        <w:t>Chaque CTA dispose, grâce à l’intervention du Fonds social européen, d’un équivalent temps-plein chargé de l’élaboration de l’offre des formations dispensées en CTA, des séquences d’apprentissage et de la formation des enseignants à l’utilisation des équipements, quel que soit leur réseau d’enseignement.</w:t>
      </w:r>
    </w:p>
    <w:p>
      <w:pPr>
        <w:rPr>
          <w:rFonts w:ascii="Calibri" w:hAnsi="Calibri" w:cs="Calibri"/>
          <w:b/>
          <w:sz w:val="32"/>
          <w:szCs w:val="32"/>
        </w:rPr>
      </w:pPr>
      <w:r>
        <w:rPr>
          <w:rFonts w:ascii="Calibri" w:hAnsi="Calibri" w:cs="Calibri"/>
          <w:b/>
          <w:sz w:val="32"/>
          <w:szCs w:val="32"/>
        </w:rPr>
        <w:br w:type="page"/>
      </w:r>
    </w:p>
    <w:p>
      <w:pPr>
        <w:numPr>
          <w:ilvl w:val="1"/>
          <w:numId w:val="53"/>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lastRenderedPageBreak/>
        <w:t>Comité d’accompagnement</w:t>
      </w:r>
    </w:p>
    <w:p>
      <w:pPr>
        <w:spacing w:after="120"/>
        <w:jc w:val="both"/>
        <w:rPr>
          <w:rFonts w:ascii="Calibri" w:hAnsi="Calibri" w:cs="Calibri"/>
          <w:sz w:val="20"/>
          <w:szCs w:val="20"/>
        </w:rPr>
      </w:pPr>
      <w:r>
        <w:rPr>
          <w:rFonts w:ascii="Calibri" w:hAnsi="Calibri" w:cs="Calibri"/>
          <w:sz w:val="20"/>
          <w:szCs w:val="20"/>
        </w:rPr>
        <w:t xml:space="preserve">Chaque CTA est doté d’un Comité d’accompagnement. </w:t>
      </w:r>
    </w:p>
    <w:p>
      <w:pPr>
        <w:pStyle w:val="Paragraphedeliste"/>
        <w:numPr>
          <w:ilvl w:val="2"/>
          <w:numId w:val="53"/>
        </w:numPr>
        <w:tabs>
          <w:tab w:val="left" w:pos="709"/>
        </w:tabs>
        <w:spacing w:before="240" w:after="240"/>
        <w:ind w:left="709"/>
        <w:jc w:val="both"/>
        <w:rPr>
          <w:rFonts w:ascii="Calibri" w:hAnsi="Calibri" w:cs="Calibri"/>
          <w:b/>
          <w:sz w:val="28"/>
          <w:szCs w:val="28"/>
        </w:rPr>
      </w:pPr>
      <w:r>
        <w:rPr>
          <w:rFonts w:ascii="Calibri" w:hAnsi="Calibri" w:cs="Calibri"/>
          <w:b/>
          <w:sz w:val="28"/>
          <w:szCs w:val="28"/>
        </w:rPr>
        <w:t>Présidence</w:t>
      </w:r>
    </w:p>
    <w:p>
      <w:pPr>
        <w:spacing w:after="120"/>
        <w:jc w:val="both"/>
        <w:rPr>
          <w:rFonts w:ascii="Calibri" w:hAnsi="Calibri" w:cs="Calibri"/>
          <w:sz w:val="20"/>
          <w:szCs w:val="20"/>
        </w:rPr>
      </w:pPr>
      <w:r>
        <w:rPr>
          <w:rFonts w:ascii="Calibri" w:hAnsi="Calibri" w:cs="Calibri"/>
          <w:sz w:val="20"/>
          <w:szCs w:val="20"/>
        </w:rPr>
        <w:t>La présidence du Comité d’accompagnement du CTA est assurée par le chef de l’établissement dans lequel se situe le CTA.</w:t>
      </w:r>
    </w:p>
    <w:p>
      <w:pPr>
        <w:pStyle w:val="Paragraphedeliste"/>
        <w:numPr>
          <w:ilvl w:val="2"/>
          <w:numId w:val="53"/>
        </w:numPr>
        <w:tabs>
          <w:tab w:val="left" w:pos="709"/>
        </w:tabs>
        <w:spacing w:before="240" w:after="240"/>
        <w:ind w:left="709"/>
        <w:jc w:val="both"/>
        <w:rPr>
          <w:rFonts w:ascii="Calibri" w:hAnsi="Calibri" w:cs="Calibri"/>
          <w:b/>
          <w:sz w:val="28"/>
          <w:szCs w:val="28"/>
        </w:rPr>
      </w:pPr>
      <w:r>
        <w:rPr>
          <w:rFonts w:ascii="Calibri" w:hAnsi="Calibri" w:cs="Calibri"/>
          <w:b/>
          <w:sz w:val="28"/>
          <w:szCs w:val="28"/>
        </w:rPr>
        <w:t>Composition</w:t>
      </w:r>
    </w:p>
    <w:p>
      <w:pPr>
        <w:spacing w:after="120"/>
        <w:jc w:val="both"/>
        <w:rPr>
          <w:rFonts w:ascii="Calibri" w:hAnsi="Calibri" w:cs="Calibri"/>
          <w:sz w:val="20"/>
          <w:szCs w:val="20"/>
        </w:rPr>
      </w:pPr>
      <w:r>
        <w:rPr>
          <w:rFonts w:ascii="Calibri" w:hAnsi="Calibri" w:cs="Calibri"/>
          <w:sz w:val="20"/>
          <w:szCs w:val="20"/>
        </w:rPr>
        <w:t>Le Comité d’accompagnement fixe lui-même sa composition.</w:t>
      </w:r>
    </w:p>
    <w:p>
      <w:pPr>
        <w:spacing w:after="120"/>
        <w:jc w:val="both"/>
        <w:rPr>
          <w:rFonts w:ascii="Calibri" w:hAnsi="Calibri" w:cs="Calibri"/>
          <w:sz w:val="20"/>
          <w:szCs w:val="20"/>
        </w:rPr>
      </w:pPr>
      <w:r>
        <w:rPr>
          <w:rFonts w:ascii="Calibri" w:hAnsi="Calibri" w:cs="Calibri"/>
          <w:sz w:val="20"/>
          <w:szCs w:val="20"/>
        </w:rPr>
        <w:t>Toutefois, il doit comprendre au minimum :</w:t>
      </w:r>
    </w:p>
    <w:p>
      <w:pPr>
        <w:numPr>
          <w:ilvl w:val="0"/>
          <w:numId w:val="27"/>
        </w:numPr>
        <w:spacing w:after="120"/>
        <w:ind w:left="714" w:hanging="357"/>
        <w:jc w:val="both"/>
        <w:rPr>
          <w:rFonts w:ascii="Calibri" w:hAnsi="Calibri" w:cs="Calibri"/>
          <w:sz w:val="20"/>
          <w:szCs w:val="20"/>
        </w:rPr>
      </w:pPr>
      <w:r>
        <w:rPr>
          <w:rFonts w:ascii="Calibri" w:hAnsi="Calibri" w:cs="Calibri"/>
          <w:sz w:val="20"/>
          <w:szCs w:val="20"/>
        </w:rPr>
        <w:t>3 personnes issues du monde de l’entreprise,</w:t>
      </w:r>
    </w:p>
    <w:p>
      <w:pPr>
        <w:numPr>
          <w:ilvl w:val="0"/>
          <w:numId w:val="27"/>
        </w:numPr>
        <w:spacing w:after="120"/>
        <w:jc w:val="both"/>
        <w:rPr>
          <w:rFonts w:ascii="Calibri" w:hAnsi="Calibri" w:cs="Calibri"/>
          <w:sz w:val="20"/>
          <w:szCs w:val="20"/>
        </w:rPr>
      </w:pPr>
      <w:r>
        <w:rPr>
          <w:rFonts w:ascii="Calibri" w:hAnsi="Calibri" w:cs="Calibri"/>
          <w:sz w:val="20"/>
          <w:szCs w:val="20"/>
        </w:rPr>
        <w:t>3 personnes issues du monde de l’enseignement et de la formation.</w:t>
      </w:r>
    </w:p>
    <w:p>
      <w:pPr>
        <w:spacing w:after="120"/>
        <w:jc w:val="both"/>
        <w:rPr>
          <w:rFonts w:ascii="Calibri" w:hAnsi="Calibri" w:cs="Calibri"/>
          <w:sz w:val="20"/>
          <w:szCs w:val="20"/>
        </w:rPr>
      </w:pPr>
      <w:r>
        <w:rPr>
          <w:rFonts w:ascii="Calibri" w:hAnsi="Calibri" w:cs="Calibri"/>
          <w:sz w:val="20"/>
          <w:szCs w:val="20"/>
        </w:rPr>
        <w:t>La représentation du monde de l’enseignement doit obligatoirement être ouverte aux différents réseaux d’enseignement.</w:t>
      </w:r>
    </w:p>
    <w:p>
      <w:pPr>
        <w:spacing w:after="120"/>
        <w:jc w:val="both"/>
        <w:rPr>
          <w:rFonts w:ascii="Calibri" w:hAnsi="Calibri" w:cs="Calibri"/>
          <w:sz w:val="20"/>
          <w:szCs w:val="20"/>
        </w:rPr>
      </w:pPr>
      <w:r>
        <w:rPr>
          <w:rFonts w:ascii="Calibri" w:hAnsi="Calibri" w:cs="Calibri"/>
          <w:sz w:val="20"/>
          <w:szCs w:val="20"/>
        </w:rPr>
        <w:t>Il est conseillé aux présidents des Comités d’accompagnement de faire figurer parmi leurs membres au moins un représentant du Service général de l’Inspection du Ministère de la Fédération Wallonie-Bruxelles, ainsi qu’un représentant de chaque CDC ou CDR concerné.</w:t>
      </w:r>
    </w:p>
    <w:p>
      <w:pPr>
        <w:spacing w:after="120"/>
        <w:jc w:val="both"/>
        <w:rPr>
          <w:rFonts w:ascii="Calibri" w:hAnsi="Calibri" w:cs="Calibri"/>
          <w:sz w:val="20"/>
          <w:szCs w:val="20"/>
        </w:rPr>
      </w:pPr>
      <w:r>
        <w:rPr>
          <w:rFonts w:ascii="Calibri" w:hAnsi="Calibri" w:cs="Calibri"/>
          <w:sz w:val="20"/>
          <w:szCs w:val="20"/>
        </w:rPr>
        <w:t xml:space="preserve">De même, et dès lors que les formateurs attachés aux CTA sont financés par le Fonds social européen via les opérateurs de formation continue </w:t>
      </w:r>
      <w:r>
        <w:rPr>
          <w:rFonts w:ascii="Calibri" w:hAnsi="Calibri" w:cs="Calibri"/>
          <w:i/>
          <w:sz w:val="20"/>
          <w:szCs w:val="20"/>
        </w:rPr>
        <w:t>Formation en cours de carrière des enseignants du secondaire de l’enseignement non confessionnel (FCC)</w:t>
      </w:r>
      <w:r>
        <w:rPr>
          <w:rFonts w:ascii="Calibri" w:hAnsi="Calibri" w:cs="Calibri"/>
          <w:sz w:val="20"/>
          <w:szCs w:val="20"/>
        </w:rPr>
        <w:t xml:space="preserve"> et </w:t>
      </w:r>
      <w:r>
        <w:rPr>
          <w:rFonts w:ascii="Calibri" w:hAnsi="Calibri" w:cs="Calibri"/>
          <w:i/>
          <w:sz w:val="20"/>
          <w:szCs w:val="20"/>
        </w:rPr>
        <w:t>Association pour la promotion de la formation en cours de carrière dans l’enseignement confessionnel (FORCAR)</w:t>
      </w:r>
      <w:r>
        <w:rPr>
          <w:rFonts w:ascii="Calibri" w:hAnsi="Calibri" w:cs="Calibri"/>
          <w:sz w:val="20"/>
          <w:szCs w:val="20"/>
        </w:rPr>
        <w:t>, il est vivement conseillé aux présidents d’inviter un représentant de l’association concernée à participer aux réunions de leur comité d’accompagnement.</w:t>
      </w:r>
    </w:p>
    <w:p>
      <w:pPr>
        <w:spacing w:after="120"/>
        <w:jc w:val="both"/>
        <w:rPr>
          <w:rFonts w:ascii="Calibri" w:hAnsi="Calibri" w:cs="Calibri"/>
          <w:sz w:val="20"/>
          <w:szCs w:val="20"/>
        </w:rPr>
      </w:pPr>
      <w:r>
        <w:rPr>
          <w:rFonts w:ascii="Calibri" w:hAnsi="Calibri" w:cs="Calibri"/>
          <w:sz w:val="20"/>
          <w:szCs w:val="20"/>
        </w:rPr>
        <w:t>Les chargés de mission CTA de l’administration seront systématiquement invités aux réunions des Comités d’accompagnement des CTA dont ils ont la charge.</w:t>
      </w:r>
    </w:p>
    <w:p>
      <w:pPr>
        <w:spacing w:after="120"/>
        <w:jc w:val="both"/>
        <w:rPr>
          <w:rFonts w:ascii="Calibri" w:hAnsi="Calibri" w:cs="Calibri"/>
          <w:b/>
          <w:i/>
          <w:sz w:val="20"/>
          <w:szCs w:val="20"/>
        </w:rPr>
      </w:pPr>
      <w:r>
        <w:rPr>
          <w:rFonts w:ascii="Calibri" w:hAnsi="Calibri" w:cs="Calibri"/>
          <w:b/>
          <w:i/>
          <w:sz w:val="20"/>
          <w:szCs w:val="20"/>
        </w:rPr>
        <w:t xml:space="preserve">Il est demandé aux présidents des Comités de transmettre régulièrement à l’administration la liste de leurs membres, à tout le moins lors de chaque changement dans leur composition. </w:t>
      </w:r>
    </w:p>
    <w:p>
      <w:pPr>
        <w:pStyle w:val="Paragraphedeliste"/>
        <w:numPr>
          <w:ilvl w:val="2"/>
          <w:numId w:val="53"/>
        </w:numPr>
        <w:tabs>
          <w:tab w:val="left" w:pos="709"/>
        </w:tabs>
        <w:spacing w:before="240" w:after="240"/>
        <w:ind w:left="709"/>
        <w:jc w:val="both"/>
        <w:rPr>
          <w:rFonts w:ascii="Calibri" w:hAnsi="Calibri" w:cs="Calibri"/>
          <w:b/>
          <w:sz w:val="28"/>
          <w:szCs w:val="28"/>
        </w:rPr>
      </w:pPr>
      <w:r>
        <w:rPr>
          <w:rFonts w:ascii="Calibri" w:hAnsi="Calibri" w:cs="Calibri"/>
          <w:b/>
          <w:sz w:val="28"/>
          <w:szCs w:val="28"/>
        </w:rPr>
        <w:t>Missions</w:t>
      </w:r>
    </w:p>
    <w:p>
      <w:pPr>
        <w:spacing w:after="120"/>
        <w:jc w:val="both"/>
        <w:rPr>
          <w:rFonts w:ascii="Calibri" w:hAnsi="Calibri" w:cs="Calibri"/>
          <w:sz w:val="20"/>
          <w:szCs w:val="20"/>
        </w:rPr>
      </w:pPr>
      <w:r>
        <w:rPr>
          <w:rFonts w:ascii="Calibri" w:hAnsi="Calibri" w:cs="Calibri"/>
          <w:sz w:val="20"/>
          <w:szCs w:val="20"/>
        </w:rPr>
        <w:t>Le Comité d’accompagnement a pour mission :</w:t>
      </w:r>
    </w:p>
    <w:p>
      <w:pPr>
        <w:numPr>
          <w:ilvl w:val="0"/>
          <w:numId w:val="28"/>
        </w:numPr>
        <w:spacing w:after="120"/>
        <w:ind w:left="714" w:hanging="357"/>
        <w:jc w:val="both"/>
        <w:rPr>
          <w:rFonts w:ascii="Calibri" w:hAnsi="Calibri" w:cs="Calibri"/>
          <w:sz w:val="20"/>
          <w:szCs w:val="20"/>
        </w:rPr>
      </w:pPr>
      <w:r>
        <w:rPr>
          <w:rFonts w:ascii="Calibri" w:hAnsi="Calibri" w:cs="Calibri"/>
          <w:sz w:val="20"/>
          <w:szCs w:val="20"/>
        </w:rPr>
        <w:t>de se prononcer sur la politique suivie dans le CTA en tenant compte de ses missions et de donner des conseils en la matière</w:t>
      </w:r>
    </w:p>
    <w:p>
      <w:pPr>
        <w:numPr>
          <w:ilvl w:val="0"/>
          <w:numId w:val="28"/>
        </w:numPr>
        <w:spacing w:after="120"/>
        <w:ind w:left="714" w:hanging="357"/>
        <w:jc w:val="both"/>
        <w:rPr>
          <w:rFonts w:ascii="Calibri" w:hAnsi="Calibri" w:cs="Calibri"/>
          <w:sz w:val="20"/>
          <w:szCs w:val="20"/>
        </w:rPr>
      </w:pPr>
      <w:r>
        <w:rPr>
          <w:rFonts w:ascii="Calibri" w:hAnsi="Calibri" w:cs="Calibri"/>
          <w:sz w:val="20"/>
          <w:szCs w:val="20"/>
        </w:rPr>
        <w:t>d’approuver le rapport d’activités annuel du centre</w:t>
      </w:r>
    </w:p>
    <w:p>
      <w:pPr>
        <w:numPr>
          <w:ilvl w:val="0"/>
          <w:numId w:val="28"/>
        </w:numPr>
        <w:spacing w:after="120"/>
        <w:ind w:left="714" w:hanging="357"/>
        <w:jc w:val="both"/>
        <w:rPr>
          <w:rFonts w:ascii="Calibri" w:hAnsi="Calibri" w:cs="Calibri"/>
          <w:sz w:val="20"/>
          <w:szCs w:val="20"/>
        </w:rPr>
      </w:pPr>
      <w:r>
        <w:rPr>
          <w:rFonts w:ascii="Calibri" w:hAnsi="Calibri" w:cs="Calibri"/>
          <w:sz w:val="20"/>
          <w:szCs w:val="20"/>
        </w:rPr>
        <w:t>d’adopter le règlement d’ordre intérieur du CTA</w:t>
      </w:r>
    </w:p>
    <w:p>
      <w:pPr>
        <w:numPr>
          <w:ilvl w:val="0"/>
          <w:numId w:val="28"/>
        </w:numPr>
        <w:spacing w:after="120"/>
        <w:jc w:val="both"/>
        <w:rPr>
          <w:rFonts w:ascii="Calibri" w:hAnsi="Calibri" w:cs="Calibri"/>
          <w:sz w:val="20"/>
          <w:szCs w:val="20"/>
        </w:rPr>
      </w:pPr>
      <w:r>
        <w:rPr>
          <w:rFonts w:ascii="Calibri" w:hAnsi="Calibri" w:cs="Calibri"/>
          <w:sz w:val="20"/>
          <w:szCs w:val="20"/>
        </w:rPr>
        <w:t>de se prononcer sur le programme des formations à destination des enseignants et des formateurs.</w:t>
      </w:r>
    </w:p>
    <w:p>
      <w:pPr>
        <w:pStyle w:val="Paragraphedeliste"/>
        <w:numPr>
          <w:ilvl w:val="2"/>
          <w:numId w:val="53"/>
        </w:numPr>
        <w:tabs>
          <w:tab w:val="left" w:pos="709"/>
        </w:tabs>
        <w:spacing w:before="240" w:after="240"/>
        <w:ind w:left="709"/>
        <w:jc w:val="both"/>
        <w:rPr>
          <w:rFonts w:ascii="Calibri" w:hAnsi="Calibri" w:cs="Calibri"/>
          <w:b/>
          <w:sz w:val="28"/>
          <w:szCs w:val="28"/>
        </w:rPr>
      </w:pPr>
      <w:r>
        <w:rPr>
          <w:rFonts w:ascii="Calibri" w:hAnsi="Calibri" w:cs="Calibri"/>
          <w:b/>
          <w:sz w:val="28"/>
          <w:szCs w:val="28"/>
        </w:rPr>
        <w:t>Règlement d’ordre intérieur</w:t>
      </w:r>
    </w:p>
    <w:p>
      <w:pPr>
        <w:spacing w:after="120"/>
        <w:jc w:val="both"/>
        <w:rPr>
          <w:rFonts w:ascii="Calibri" w:hAnsi="Calibri" w:cs="Calibri"/>
          <w:sz w:val="20"/>
          <w:szCs w:val="20"/>
        </w:rPr>
      </w:pPr>
      <w:r>
        <w:rPr>
          <w:rFonts w:ascii="Calibri" w:hAnsi="Calibri" w:cs="Calibri"/>
          <w:sz w:val="20"/>
          <w:szCs w:val="20"/>
        </w:rPr>
        <w:t xml:space="preserve">Chaque comité d’accompagnement se dote d’un règlement d’ordre intérieur. </w:t>
      </w:r>
      <w:r>
        <w:rPr>
          <w:rFonts w:ascii="Calibri" w:hAnsi="Calibri" w:cs="Calibri"/>
          <w:b/>
          <w:i/>
          <w:sz w:val="20"/>
          <w:szCs w:val="20"/>
        </w:rPr>
        <w:t>Une copie de celui-ci doit être transmise à l’administration par voie électronique</w:t>
      </w:r>
      <w:r>
        <w:rPr>
          <w:rFonts w:ascii="Calibri" w:hAnsi="Calibri" w:cs="Calibri"/>
          <w:sz w:val="20"/>
          <w:szCs w:val="20"/>
        </w:rPr>
        <w:t>.</w:t>
      </w:r>
    </w:p>
    <w:p>
      <w:pPr>
        <w:spacing w:after="120"/>
        <w:jc w:val="both"/>
        <w:rPr>
          <w:rFonts w:ascii="Calibri" w:hAnsi="Calibri" w:cs="Calibri"/>
          <w:sz w:val="20"/>
          <w:szCs w:val="20"/>
        </w:rPr>
      </w:pPr>
      <w:r>
        <w:rPr>
          <w:rFonts w:ascii="Calibri" w:hAnsi="Calibri" w:cs="Calibri"/>
          <w:sz w:val="20"/>
          <w:szCs w:val="20"/>
        </w:rPr>
        <w:t xml:space="preserve">Un modèle est disponible en </w:t>
      </w:r>
      <w:r>
        <w:rPr>
          <w:rFonts w:ascii="Calibri" w:hAnsi="Calibri" w:cs="Calibri"/>
          <w:b/>
          <w:sz w:val="20"/>
          <w:szCs w:val="20"/>
          <w:u w:val="single"/>
        </w:rPr>
        <w:t>annexe 1</w:t>
      </w:r>
      <w:r>
        <w:rPr>
          <w:rFonts w:ascii="Calibri" w:hAnsi="Calibri" w:cs="Calibri"/>
          <w:sz w:val="20"/>
          <w:szCs w:val="20"/>
        </w:rPr>
        <w:t xml:space="preserve"> du présent document.</w:t>
      </w:r>
    </w:p>
    <w:p>
      <w:pPr>
        <w:rPr>
          <w:rFonts w:ascii="Calibri" w:hAnsi="Calibri" w:cs="Calibri"/>
          <w:b/>
          <w:i/>
          <w:sz w:val="28"/>
          <w:szCs w:val="28"/>
        </w:rPr>
      </w:pPr>
      <w:r>
        <w:rPr>
          <w:rFonts w:ascii="Calibri" w:hAnsi="Calibri" w:cs="Calibri"/>
          <w:b/>
          <w:i/>
          <w:sz w:val="28"/>
          <w:szCs w:val="28"/>
        </w:rPr>
        <w:br w:type="page"/>
      </w:r>
    </w:p>
    <w:p>
      <w:pPr>
        <w:pStyle w:val="Paragraphedeliste"/>
        <w:numPr>
          <w:ilvl w:val="2"/>
          <w:numId w:val="53"/>
        </w:numPr>
        <w:tabs>
          <w:tab w:val="left" w:pos="709"/>
        </w:tabs>
        <w:spacing w:before="240" w:after="240"/>
        <w:ind w:left="709"/>
        <w:jc w:val="both"/>
        <w:rPr>
          <w:rFonts w:ascii="Calibri" w:hAnsi="Calibri" w:cs="Calibri"/>
          <w:b/>
          <w:sz w:val="28"/>
          <w:szCs w:val="28"/>
        </w:rPr>
      </w:pPr>
      <w:r>
        <w:rPr>
          <w:rFonts w:ascii="Calibri" w:hAnsi="Calibri" w:cs="Calibri"/>
          <w:b/>
          <w:sz w:val="28"/>
          <w:szCs w:val="28"/>
        </w:rPr>
        <w:lastRenderedPageBreak/>
        <w:t>Modalités de fonctionnement du Comité d’accompagnement</w:t>
      </w:r>
    </w:p>
    <w:p>
      <w:pPr>
        <w:spacing w:after="120"/>
        <w:jc w:val="both"/>
        <w:rPr>
          <w:rFonts w:ascii="Calibri" w:hAnsi="Calibri" w:cs="Calibri"/>
          <w:sz w:val="20"/>
          <w:szCs w:val="20"/>
        </w:rPr>
      </w:pPr>
      <w:r>
        <w:rPr>
          <w:rFonts w:ascii="Calibri" w:hAnsi="Calibri" w:cs="Calibri"/>
          <w:sz w:val="20"/>
          <w:szCs w:val="20"/>
        </w:rPr>
        <w:t>Le Comité se réunit au moins deux fois par an.</w:t>
      </w:r>
    </w:p>
    <w:p>
      <w:pPr>
        <w:spacing w:after="120"/>
        <w:jc w:val="both"/>
        <w:rPr>
          <w:rFonts w:ascii="Calibri" w:hAnsi="Calibri" w:cs="Calibri"/>
          <w:sz w:val="20"/>
          <w:szCs w:val="20"/>
        </w:rPr>
      </w:pPr>
      <w:r>
        <w:rPr>
          <w:rFonts w:ascii="Calibri" w:hAnsi="Calibri" w:cs="Calibri"/>
          <w:sz w:val="20"/>
          <w:szCs w:val="20"/>
        </w:rPr>
        <w:t xml:space="preserve">Chaque réunion donne lieu à la rédaction d’un rapport. </w:t>
      </w:r>
      <w:r>
        <w:rPr>
          <w:rFonts w:ascii="Calibri" w:hAnsi="Calibri" w:cs="Calibri"/>
          <w:b/>
          <w:i/>
          <w:sz w:val="20"/>
          <w:szCs w:val="20"/>
        </w:rPr>
        <w:t xml:space="preserve">Une fois approuvé, une copie numérique de ce document doit être </w:t>
      </w:r>
      <w:r>
        <w:rPr>
          <w:rFonts w:ascii="Calibri" w:hAnsi="Calibri" w:cs="Calibri"/>
          <w:b/>
          <w:i/>
          <w:sz w:val="20"/>
          <w:szCs w:val="20"/>
          <w:u w:val="single"/>
        </w:rPr>
        <w:t>systématiquement</w:t>
      </w:r>
      <w:r>
        <w:rPr>
          <w:rFonts w:ascii="Calibri" w:hAnsi="Calibri" w:cs="Calibri"/>
          <w:b/>
          <w:i/>
          <w:sz w:val="20"/>
          <w:szCs w:val="20"/>
        </w:rPr>
        <w:t xml:space="preserve"> envoyée à l’administration</w:t>
      </w:r>
      <w:r>
        <w:rPr>
          <w:rFonts w:ascii="Calibri" w:hAnsi="Calibri" w:cs="Calibri"/>
          <w:sz w:val="20"/>
          <w:szCs w:val="20"/>
        </w:rPr>
        <w:t>.</w:t>
      </w:r>
    </w:p>
    <w:p>
      <w:pPr>
        <w:spacing w:after="120"/>
        <w:jc w:val="both"/>
        <w:rPr>
          <w:rFonts w:ascii="Calibri" w:hAnsi="Calibri" w:cs="Calibri"/>
          <w:sz w:val="20"/>
          <w:szCs w:val="20"/>
        </w:rPr>
      </w:pPr>
      <w:r>
        <w:rPr>
          <w:rFonts w:ascii="Calibri" w:hAnsi="Calibri" w:cs="Calibri"/>
          <w:sz w:val="20"/>
          <w:szCs w:val="20"/>
        </w:rPr>
        <w:t>Le Comité ne peut prendre de décision que si un quorum des deux tiers des membres effectifs ayant voix délibérative est présent ou représenté via procuration. A défaut, le Comité est à nouveau convoqué selon les modalités prévues dans les dispositions qui précèdent et a pouvoir de décision sans qu’aucun quorum de présences ne soit requis.</w:t>
      </w:r>
    </w:p>
    <w:p>
      <w:pPr>
        <w:spacing w:after="120"/>
        <w:jc w:val="both"/>
        <w:rPr>
          <w:rFonts w:ascii="Calibri" w:hAnsi="Calibri" w:cs="Calibri"/>
          <w:sz w:val="20"/>
          <w:szCs w:val="20"/>
        </w:rPr>
      </w:pPr>
      <w:r>
        <w:rPr>
          <w:rFonts w:ascii="Calibri" w:hAnsi="Calibri" w:cs="Calibri"/>
          <w:sz w:val="20"/>
          <w:szCs w:val="20"/>
        </w:rPr>
        <w:t>En règle générale, un point est adopté par consensus ou, à tout le moins, à la majorité simple des membres du Comité.</w:t>
      </w:r>
    </w:p>
    <w:p>
      <w:pPr>
        <w:numPr>
          <w:ilvl w:val="1"/>
          <w:numId w:val="53"/>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t>Règlement d’ordre intérieur du CTA</w:t>
      </w:r>
    </w:p>
    <w:p>
      <w:pPr>
        <w:spacing w:after="120"/>
        <w:jc w:val="both"/>
        <w:rPr>
          <w:rFonts w:ascii="Calibri" w:hAnsi="Calibri" w:cs="Calibri"/>
          <w:sz w:val="20"/>
          <w:szCs w:val="20"/>
        </w:rPr>
      </w:pPr>
      <w:r>
        <w:rPr>
          <w:rFonts w:ascii="Calibri" w:hAnsi="Calibri" w:cs="Calibri"/>
          <w:sz w:val="20"/>
          <w:szCs w:val="20"/>
        </w:rPr>
        <w:t xml:space="preserve">Chaque CTA est tenu d’élaborer un règlement d’ordre intérieur, propre au centre et en articulation avec le règlement d’ordre intérieur et le règlement de travail de l’établissement siège. Il doit être approuvé par le Comité d’accompagnement. </w:t>
      </w:r>
      <w:r>
        <w:rPr>
          <w:rFonts w:ascii="Calibri" w:hAnsi="Calibri" w:cs="Calibri"/>
          <w:b/>
          <w:i/>
          <w:sz w:val="20"/>
          <w:szCs w:val="20"/>
        </w:rPr>
        <w:t>Tout changement de ce règlement doit être approuvé par le Comité d’accompagnement et signalé par voie électronique à l’administration</w:t>
      </w:r>
      <w:r>
        <w:rPr>
          <w:rFonts w:ascii="Calibri" w:hAnsi="Calibri" w:cs="Calibri"/>
          <w:sz w:val="20"/>
          <w:szCs w:val="20"/>
        </w:rPr>
        <w:t xml:space="preserve">. </w:t>
      </w:r>
    </w:p>
    <w:p>
      <w:pPr>
        <w:spacing w:after="120"/>
        <w:jc w:val="both"/>
        <w:rPr>
          <w:rFonts w:ascii="Calibri" w:hAnsi="Calibri" w:cs="Calibri"/>
          <w:sz w:val="20"/>
          <w:szCs w:val="20"/>
        </w:rPr>
      </w:pPr>
      <w:r>
        <w:rPr>
          <w:rFonts w:ascii="Calibri" w:hAnsi="Calibri" w:cs="Calibri"/>
          <w:sz w:val="20"/>
          <w:szCs w:val="20"/>
        </w:rPr>
        <w:t>Ce document doit être communiqué de manière systématique aux opérateurs-utilisateurs lors des formations organisées au moment de la signature de la convention bilatérale générale. Toutefois, si le même opérateur-utilisateur vient se former plusieurs fois au cours de l’année scolaire, il n’est pas nécessaire de lui faire signer ce document à chaque fois. Une transmission unique lors de la première formation suivie suffit.</w:t>
      </w:r>
    </w:p>
    <w:p>
      <w:pPr>
        <w:spacing w:after="120"/>
        <w:jc w:val="both"/>
        <w:rPr>
          <w:rFonts w:ascii="Calibri" w:hAnsi="Calibri" w:cs="Calibri"/>
          <w:sz w:val="20"/>
          <w:szCs w:val="20"/>
        </w:rPr>
      </w:pPr>
      <w:r>
        <w:rPr>
          <w:rFonts w:ascii="Calibri" w:hAnsi="Calibri" w:cs="Calibri"/>
          <w:sz w:val="20"/>
          <w:szCs w:val="20"/>
        </w:rPr>
        <w:t>Dans le cas où le CTA accueille un utilisateur issu du même pouvoir organisateur, la signature de la convention bilatérale générale n’étant pas nécessaire, il conviendra néanmoins de transmettre à l’utilisateur, une fois par année scolaire, les documents normalement annexés à la convention, à savoir l’analyse des risques, le règlement d’ordre intérieur et le programme de la formation.</w:t>
      </w:r>
    </w:p>
    <w:p>
      <w:pPr>
        <w:spacing w:after="120"/>
        <w:jc w:val="both"/>
        <w:rPr>
          <w:rFonts w:ascii="Calibri" w:hAnsi="Calibri" w:cs="Calibri"/>
          <w:sz w:val="20"/>
          <w:szCs w:val="20"/>
        </w:rPr>
      </w:pPr>
      <w:r>
        <w:rPr>
          <w:rFonts w:ascii="Calibri" w:hAnsi="Calibri" w:cs="Calibri"/>
          <w:sz w:val="20"/>
          <w:szCs w:val="20"/>
        </w:rPr>
        <w:t xml:space="preserve">Un modèle de règlement d’ordre intérieur est disponible en </w:t>
      </w:r>
      <w:r>
        <w:rPr>
          <w:rFonts w:ascii="Calibri" w:hAnsi="Calibri" w:cs="Calibri"/>
          <w:b/>
          <w:sz w:val="20"/>
          <w:szCs w:val="20"/>
          <w:u w:val="single"/>
        </w:rPr>
        <w:t>annexe 2</w:t>
      </w:r>
      <w:r>
        <w:rPr>
          <w:rFonts w:ascii="Calibri" w:hAnsi="Calibri" w:cs="Calibri"/>
          <w:sz w:val="20"/>
          <w:szCs w:val="20"/>
        </w:rPr>
        <w:t xml:space="preserve"> du présent document.</w:t>
      </w:r>
    </w:p>
    <w:p>
      <w:pPr>
        <w:numPr>
          <w:ilvl w:val="0"/>
          <w:numId w:val="2"/>
        </w:numPr>
        <w:tabs>
          <w:tab w:val="clear" w:pos="720"/>
          <w:tab w:val="num" w:pos="360"/>
          <w:tab w:val="num" w:pos="540"/>
        </w:tabs>
        <w:spacing w:before="360" w:after="360"/>
        <w:ind w:left="357" w:hanging="357"/>
        <w:jc w:val="both"/>
        <w:rPr>
          <w:rFonts w:ascii="Calibri" w:hAnsi="Calibri" w:cs="Calibri"/>
          <w:b/>
          <w:smallCaps/>
          <w:sz w:val="40"/>
          <w:szCs w:val="40"/>
          <w:u w:val="single"/>
        </w:rPr>
      </w:pPr>
      <w:r>
        <w:rPr>
          <w:rFonts w:ascii="Calibri" w:hAnsi="Calibri" w:cs="Calibri"/>
          <w:b/>
          <w:smallCaps/>
          <w:sz w:val="40"/>
          <w:szCs w:val="40"/>
          <w:u w:val="single"/>
        </w:rPr>
        <w:t>Organisation des formations</w:t>
      </w:r>
    </w:p>
    <w:p>
      <w:pPr>
        <w:numPr>
          <w:ilvl w:val="1"/>
          <w:numId w:val="54"/>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t>Programme de formation</w:t>
      </w:r>
    </w:p>
    <w:p>
      <w:pPr>
        <w:spacing w:after="120"/>
        <w:jc w:val="both"/>
        <w:rPr>
          <w:rFonts w:ascii="Calibri" w:hAnsi="Calibri" w:cs="Calibri"/>
          <w:sz w:val="20"/>
          <w:szCs w:val="20"/>
        </w:rPr>
      </w:pPr>
      <w:r>
        <w:rPr>
          <w:rFonts w:ascii="Calibri" w:hAnsi="Calibri" w:cs="Calibri"/>
          <w:sz w:val="20"/>
          <w:szCs w:val="20"/>
        </w:rPr>
        <w:t xml:space="preserve">Un programme de formation doit être établi par chaque CTA à destination des enseignants et des formateurs pour leur permettre d’utiliser à bon escient les équipements disponibles. </w:t>
      </w:r>
    </w:p>
    <w:p>
      <w:pPr>
        <w:numPr>
          <w:ilvl w:val="1"/>
          <w:numId w:val="54"/>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t>Promotion des formations</w:t>
      </w:r>
    </w:p>
    <w:p>
      <w:pPr>
        <w:spacing w:after="120"/>
        <w:jc w:val="both"/>
        <w:rPr>
          <w:rFonts w:ascii="Calibri" w:hAnsi="Calibri" w:cs="Calibri"/>
          <w:sz w:val="20"/>
          <w:szCs w:val="20"/>
        </w:rPr>
      </w:pPr>
      <w:r>
        <w:rPr>
          <w:rFonts w:ascii="Calibri" w:hAnsi="Calibri" w:cs="Calibri"/>
          <w:sz w:val="20"/>
          <w:szCs w:val="20"/>
        </w:rPr>
        <w:t>Le CTA a entre autre pour mission d’assurer la promotion des formations organisées au sein de son centre auprès des différents publics-cibles (voir également point 11). Il doit être proactif et entreprendre une série d’actions pour faire connaître ses activités et développer la visibilité du centre : séances d’information et de formation, visites, envois de courrier ou de mails, démarches téléphoniques, etc. doivent être organisés afin que les publics concernés soient informés et encouragés à utiliser le CTA.</w:t>
      </w:r>
    </w:p>
    <w:p>
      <w:pPr>
        <w:spacing w:after="120"/>
        <w:jc w:val="both"/>
        <w:rPr>
          <w:rFonts w:ascii="Calibri" w:hAnsi="Calibri" w:cs="Calibri"/>
          <w:sz w:val="20"/>
          <w:szCs w:val="20"/>
        </w:rPr>
      </w:pPr>
      <w:r>
        <w:rPr>
          <w:rFonts w:ascii="Calibri" w:hAnsi="Calibri" w:cs="Calibri"/>
          <w:sz w:val="20"/>
          <w:szCs w:val="20"/>
        </w:rPr>
        <w:t>La mise en œuvre d’un processus de sollicitation est une condition de base au subventionnement des frais de fonctionnement et de consommables. Le rapport d’activités annuel (cf. point 9) doit en attester. C’est également pour cela qu’il est demandé d’y joindre une copie de tous les supports de publicité réalisés au cours de l’année écoulée.</w:t>
      </w:r>
    </w:p>
    <w:p>
      <w:pPr>
        <w:spacing w:after="120"/>
        <w:jc w:val="both"/>
        <w:rPr>
          <w:rFonts w:ascii="Calibri" w:hAnsi="Calibri" w:cs="Calibri"/>
          <w:sz w:val="20"/>
          <w:szCs w:val="20"/>
        </w:rPr>
      </w:pPr>
      <w:r>
        <w:rPr>
          <w:rFonts w:ascii="Calibri" w:hAnsi="Calibri" w:cs="Calibri"/>
          <w:sz w:val="20"/>
          <w:szCs w:val="20"/>
        </w:rPr>
        <w:t>L’administration peut épauler les CTA qui le souhaitent dans le cadre de cette mission de sollicitation.</w:t>
      </w:r>
    </w:p>
    <w:p>
      <w:pPr>
        <w:rPr>
          <w:rFonts w:ascii="Calibri" w:hAnsi="Calibri" w:cs="Calibri"/>
          <w:sz w:val="20"/>
          <w:szCs w:val="20"/>
        </w:rPr>
      </w:pPr>
      <w:r>
        <w:rPr>
          <w:rFonts w:ascii="Calibri" w:hAnsi="Calibri" w:cs="Calibri"/>
          <w:sz w:val="20"/>
          <w:szCs w:val="20"/>
        </w:rPr>
        <w:br w:type="page"/>
      </w:r>
    </w:p>
    <w:p>
      <w:pPr>
        <w:numPr>
          <w:ilvl w:val="1"/>
          <w:numId w:val="54"/>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lastRenderedPageBreak/>
        <w:t>Durée des formations</w:t>
      </w:r>
    </w:p>
    <w:p>
      <w:pPr>
        <w:spacing w:after="120"/>
        <w:jc w:val="both"/>
        <w:rPr>
          <w:rFonts w:ascii="Calibri" w:hAnsi="Calibri" w:cs="Calibri"/>
          <w:sz w:val="20"/>
          <w:szCs w:val="20"/>
        </w:rPr>
      </w:pPr>
      <w:r>
        <w:rPr>
          <w:rFonts w:ascii="Calibri" w:hAnsi="Calibri" w:cs="Calibri"/>
          <w:sz w:val="20"/>
          <w:szCs w:val="20"/>
        </w:rPr>
        <w:t xml:space="preserve">L’administration compte qu’une journée complète de formation en CTA équivaut à 6 heures de 60 minutes. </w:t>
      </w:r>
    </w:p>
    <w:p>
      <w:pPr>
        <w:spacing w:after="120"/>
        <w:jc w:val="both"/>
        <w:rPr>
          <w:rFonts w:ascii="Calibri" w:hAnsi="Calibri" w:cs="Calibri"/>
          <w:sz w:val="20"/>
          <w:szCs w:val="20"/>
        </w:rPr>
      </w:pPr>
      <w:r>
        <w:rPr>
          <w:rFonts w:ascii="Calibri" w:hAnsi="Calibri" w:cs="Calibri"/>
          <w:sz w:val="20"/>
          <w:szCs w:val="20"/>
        </w:rPr>
        <w:t>Si une formation se déroule uniquement en matinée, l’après-midi ou en soirée, l’administration comptabilise une demi-journée de formation, c’est-à-dire 3 heures de 60 minutes.</w:t>
      </w:r>
    </w:p>
    <w:p>
      <w:pPr>
        <w:numPr>
          <w:ilvl w:val="1"/>
          <w:numId w:val="54"/>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t>Accueil des apprenants</w:t>
      </w:r>
    </w:p>
    <w:p>
      <w:pPr>
        <w:spacing w:after="120"/>
        <w:jc w:val="both"/>
        <w:rPr>
          <w:rFonts w:ascii="Calibri" w:hAnsi="Calibri" w:cs="Calibri"/>
          <w:sz w:val="20"/>
          <w:szCs w:val="20"/>
        </w:rPr>
      </w:pPr>
      <w:r>
        <w:rPr>
          <w:rFonts w:ascii="Calibri" w:hAnsi="Calibri" w:cs="Calibri"/>
          <w:sz w:val="20"/>
          <w:szCs w:val="20"/>
        </w:rPr>
        <w:t>Le CTA :</w:t>
      </w:r>
    </w:p>
    <w:p>
      <w:pPr>
        <w:numPr>
          <w:ilvl w:val="0"/>
          <w:numId w:val="30"/>
        </w:numPr>
        <w:spacing w:after="120"/>
        <w:ind w:left="714" w:hanging="357"/>
        <w:jc w:val="both"/>
        <w:rPr>
          <w:rFonts w:ascii="Calibri" w:hAnsi="Calibri" w:cs="Calibri"/>
          <w:sz w:val="20"/>
          <w:szCs w:val="20"/>
        </w:rPr>
      </w:pPr>
      <w:r>
        <w:rPr>
          <w:rFonts w:ascii="Calibri" w:hAnsi="Calibri" w:cs="Calibri"/>
          <w:sz w:val="20"/>
          <w:szCs w:val="20"/>
        </w:rPr>
        <w:t>accueille tous les apprenants visés par le décret du 11 avril 2014 sans discrimination ;</w:t>
      </w:r>
    </w:p>
    <w:p>
      <w:pPr>
        <w:numPr>
          <w:ilvl w:val="0"/>
          <w:numId w:val="30"/>
        </w:numPr>
        <w:spacing w:after="120"/>
        <w:jc w:val="both"/>
        <w:rPr>
          <w:rFonts w:ascii="Calibri" w:hAnsi="Calibri" w:cs="Calibri"/>
          <w:sz w:val="20"/>
          <w:szCs w:val="20"/>
        </w:rPr>
      </w:pPr>
      <w:r>
        <w:rPr>
          <w:rFonts w:ascii="Calibri" w:hAnsi="Calibri" w:cs="Calibri"/>
          <w:sz w:val="20"/>
          <w:szCs w:val="20"/>
        </w:rPr>
        <w:t>met à leur disposition l’infrastructure, les locaux équipés, le matériel didactique nécessaire au déroulement de la formation, ainsi que le personnel administratif nécessaire.</w:t>
      </w:r>
    </w:p>
    <w:p>
      <w:pPr>
        <w:numPr>
          <w:ilvl w:val="2"/>
          <w:numId w:val="54"/>
        </w:numPr>
        <w:tabs>
          <w:tab w:val="left" w:pos="567"/>
        </w:tabs>
        <w:spacing w:before="240" w:after="240"/>
        <w:ind w:left="567" w:hanging="567"/>
        <w:jc w:val="both"/>
        <w:rPr>
          <w:rFonts w:ascii="Calibri" w:hAnsi="Calibri" w:cs="Calibri"/>
          <w:b/>
          <w:sz w:val="28"/>
          <w:szCs w:val="28"/>
        </w:rPr>
      </w:pPr>
      <w:r>
        <w:rPr>
          <w:rFonts w:ascii="Calibri" w:hAnsi="Calibri" w:cs="Calibri"/>
          <w:b/>
          <w:sz w:val="28"/>
          <w:szCs w:val="28"/>
        </w:rPr>
        <w:t>Encadrement pédagogique</w:t>
      </w:r>
    </w:p>
    <w:p>
      <w:pPr>
        <w:spacing w:after="120"/>
        <w:jc w:val="both"/>
        <w:rPr>
          <w:rFonts w:ascii="Calibri" w:hAnsi="Calibri" w:cs="Calibri"/>
          <w:sz w:val="20"/>
          <w:szCs w:val="20"/>
        </w:rPr>
      </w:pPr>
      <w:r>
        <w:rPr>
          <w:rFonts w:ascii="Calibri" w:hAnsi="Calibri" w:cs="Calibri"/>
          <w:sz w:val="20"/>
          <w:szCs w:val="20"/>
        </w:rPr>
        <w:t>Les apprenants sont encadrés par leur propre formateur. Celui-ci est désigné par l’opérateur-utilisateur.</w:t>
      </w:r>
    </w:p>
    <w:p>
      <w:pPr>
        <w:spacing w:after="120"/>
        <w:jc w:val="both"/>
        <w:rPr>
          <w:rFonts w:ascii="Calibri" w:hAnsi="Calibri" w:cs="Calibri"/>
          <w:sz w:val="20"/>
          <w:szCs w:val="20"/>
        </w:rPr>
      </w:pPr>
      <w:r>
        <w:rPr>
          <w:rFonts w:ascii="Calibri" w:hAnsi="Calibri" w:cs="Calibri"/>
          <w:sz w:val="20"/>
          <w:szCs w:val="20"/>
        </w:rPr>
        <w:t>Est agréé à donner une formation dans un CTA toute personne ayant reçu préalablement une formation adéquate eu égard au matériel mis à disposition par le CTA. Cette formation peut être suivie :</w:t>
      </w:r>
    </w:p>
    <w:p>
      <w:pPr>
        <w:numPr>
          <w:ilvl w:val="0"/>
          <w:numId w:val="31"/>
        </w:numPr>
        <w:spacing w:after="120"/>
        <w:ind w:left="714" w:hanging="357"/>
        <w:jc w:val="both"/>
        <w:rPr>
          <w:rFonts w:ascii="Calibri" w:hAnsi="Calibri" w:cs="Calibri"/>
          <w:sz w:val="20"/>
          <w:szCs w:val="20"/>
        </w:rPr>
      </w:pPr>
      <w:r>
        <w:rPr>
          <w:rFonts w:ascii="Calibri" w:hAnsi="Calibri" w:cs="Calibri"/>
          <w:sz w:val="20"/>
          <w:szCs w:val="20"/>
        </w:rPr>
        <w:t>dans le CTA où est organisée la formation,</w:t>
      </w:r>
    </w:p>
    <w:p>
      <w:pPr>
        <w:numPr>
          <w:ilvl w:val="0"/>
          <w:numId w:val="31"/>
        </w:numPr>
        <w:spacing w:after="120"/>
        <w:ind w:left="714" w:hanging="357"/>
        <w:jc w:val="both"/>
        <w:rPr>
          <w:rFonts w:ascii="Calibri" w:hAnsi="Calibri" w:cs="Calibri"/>
          <w:sz w:val="20"/>
          <w:szCs w:val="20"/>
        </w:rPr>
      </w:pPr>
      <w:r>
        <w:rPr>
          <w:rFonts w:ascii="Calibri" w:hAnsi="Calibri" w:cs="Calibri"/>
          <w:sz w:val="20"/>
          <w:szCs w:val="20"/>
        </w:rPr>
        <w:t>dans un Centre de Compétence,</w:t>
      </w:r>
    </w:p>
    <w:p>
      <w:pPr>
        <w:numPr>
          <w:ilvl w:val="0"/>
          <w:numId w:val="31"/>
        </w:numPr>
        <w:spacing w:after="120"/>
        <w:ind w:left="714" w:hanging="357"/>
        <w:jc w:val="both"/>
        <w:rPr>
          <w:rFonts w:ascii="Calibri" w:hAnsi="Calibri" w:cs="Calibri"/>
          <w:sz w:val="20"/>
          <w:szCs w:val="20"/>
        </w:rPr>
      </w:pPr>
      <w:r>
        <w:rPr>
          <w:rFonts w:ascii="Calibri" w:hAnsi="Calibri" w:cs="Calibri"/>
          <w:sz w:val="20"/>
          <w:szCs w:val="20"/>
        </w:rPr>
        <w:t>dans un Centre de Référence professionnelle,</w:t>
      </w:r>
    </w:p>
    <w:p>
      <w:pPr>
        <w:numPr>
          <w:ilvl w:val="0"/>
          <w:numId w:val="31"/>
        </w:numPr>
        <w:spacing w:after="120"/>
        <w:jc w:val="both"/>
        <w:rPr>
          <w:rFonts w:ascii="Calibri" w:hAnsi="Calibri" w:cs="Calibri"/>
          <w:sz w:val="20"/>
          <w:szCs w:val="20"/>
        </w:rPr>
      </w:pPr>
      <w:r>
        <w:rPr>
          <w:rFonts w:ascii="Calibri" w:hAnsi="Calibri" w:cs="Calibri"/>
          <w:sz w:val="20"/>
          <w:szCs w:val="20"/>
        </w:rPr>
        <w:t>dans un autre CTA.</w:t>
      </w:r>
    </w:p>
    <w:p>
      <w:pPr>
        <w:spacing w:after="120"/>
        <w:jc w:val="both"/>
        <w:rPr>
          <w:rFonts w:ascii="Calibri" w:hAnsi="Calibri" w:cs="Calibri"/>
          <w:sz w:val="20"/>
          <w:szCs w:val="20"/>
        </w:rPr>
      </w:pPr>
      <w:r>
        <w:rPr>
          <w:rFonts w:ascii="Calibri" w:hAnsi="Calibri" w:cs="Calibri"/>
          <w:sz w:val="20"/>
          <w:szCs w:val="20"/>
        </w:rPr>
        <w:t>Dans ces trois derniers cas, la personne devra attester de cette formation au plus tard le premier jour de la formation des stagiaires.</w:t>
      </w:r>
    </w:p>
    <w:p>
      <w:pPr>
        <w:spacing w:after="120"/>
        <w:jc w:val="both"/>
        <w:rPr>
          <w:rFonts w:ascii="Calibri" w:hAnsi="Calibri" w:cs="Calibri"/>
          <w:sz w:val="20"/>
          <w:szCs w:val="20"/>
        </w:rPr>
      </w:pPr>
      <w:r>
        <w:rPr>
          <w:rFonts w:ascii="Calibri" w:hAnsi="Calibri" w:cs="Calibri"/>
          <w:sz w:val="20"/>
          <w:szCs w:val="20"/>
        </w:rPr>
        <w:t>Le formateur attaché au CTA est autorisé à seconder le formateur désigné par l’opérateur-utilisateur dans sa tâche.</w:t>
      </w:r>
    </w:p>
    <w:p>
      <w:pPr>
        <w:numPr>
          <w:ilvl w:val="2"/>
          <w:numId w:val="54"/>
        </w:numPr>
        <w:tabs>
          <w:tab w:val="left" w:pos="567"/>
        </w:tabs>
        <w:spacing w:before="240" w:after="240"/>
        <w:ind w:left="567" w:hanging="567"/>
        <w:jc w:val="both"/>
        <w:rPr>
          <w:rFonts w:ascii="Calibri" w:hAnsi="Calibri" w:cs="Calibri"/>
          <w:b/>
          <w:sz w:val="28"/>
          <w:szCs w:val="28"/>
        </w:rPr>
      </w:pPr>
      <w:r>
        <w:rPr>
          <w:rFonts w:ascii="Calibri" w:hAnsi="Calibri" w:cs="Calibri"/>
          <w:b/>
          <w:sz w:val="28"/>
          <w:szCs w:val="28"/>
        </w:rPr>
        <w:t>Conventions</w:t>
      </w:r>
    </w:p>
    <w:p>
      <w:pPr>
        <w:spacing w:after="120"/>
        <w:jc w:val="both"/>
        <w:rPr>
          <w:rFonts w:ascii="Calibri" w:hAnsi="Calibri" w:cs="Calibri"/>
          <w:sz w:val="20"/>
          <w:szCs w:val="20"/>
        </w:rPr>
      </w:pPr>
      <w:r>
        <w:rPr>
          <w:rFonts w:ascii="Calibri" w:hAnsi="Calibri" w:cs="Calibri"/>
          <w:sz w:val="20"/>
          <w:szCs w:val="20"/>
        </w:rPr>
        <w:t>L’accueil des différents publics se réalise sur base de deux types de conventions :</w:t>
      </w:r>
    </w:p>
    <w:p>
      <w:pPr>
        <w:numPr>
          <w:ilvl w:val="0"/>
          <w:numId w:val="31"/>
        </w:numPr>
        <w:spacing w:after="120"/>
        <w:jc w:val="both"/>
        <w:rPr>
          <w:rFonts w:ascii="Calibri" w:hAnsi="Calibri" w:cs="Calibri"/>
          <w:sz w:val="20"/>
          <w:szCs w:val="20"/>
        </w:rPr>
      </w:pPr>
      <w:r>
        <w:rPr>
          <w:rFonts w:ascii="Calibri" w:hAnsi="Calibri" w:cs="Calibri"/>
          <w:sz w:val="20"/>
          <w:szCs w:val="20"/>
        </w:rPr>
        <w:t>une convention bilatérale générale</w:t>
      </w:r>
    </w:p>
    <w:p>
      <w:pPr>
        <w:numPr>
          <w:ilvl w:val="0"/>
          <w:numId w:val="31"/>
        </w:numPr>
        <w:spacing w:after="120"/>
        <w:jc w:val="both"/>
        <w:rPr>
          <w:rFonts w:ascii="Calibri" w:hAnsi="Calibri" w:cs="Calibri"/>
          <w:sz w:val="20"/>
          <w:szCs w:val="20"/>
        </w:rPr>
      </w:pPr>
      <w:r>
        <w:rPr>
          <w:rFonts w:ascii="Calibri" w:hAnsi="Calibri" w:cs="Calibri"/>
          <w:sz w:val="20"/>
          <w:szCs w:val="20"/>
        </w:rPr>
        <w:t>une convention spécifique</w:t>
      </w:r>
    </w:p>
    <w:p>
      <w:pPr>
        <w:spacing w:after="120"/>
        <w:jc w:val="both"/>
        <w:rPr>
          <w:rFonts w:ascii="Calibri" w:hAnsi="Calibri" w:cs="Calibri"/>
          <w:sz w:val="20"/>
          <w:szCs w:val="20"/>
        </w:rPr>
      </w:pPr>
      <w:r>
        <w:rPr>
          <w:rFonts w:ascii="Calibri" w:hAnsi="Calibri" w:cs="Calibri"/>
          <w:sz w:val="20"/>
          <w:szCs w:val="20"/>
        </w:rPr>
        <w:t xml:space="preserve">La présence de tout utilisateur dans un CTA est conditionnée à la signature préalable de la </w:t>
      </w:r>
      <w:r>
        <w:rPr>
          <w:rFonts w:ascii="Calibri" w:hAnsi="Calibri" w:cs="Calibri"/>
          <w:b/>
          <w:sz w:val="20"/>
          <w:szCs w:val="20"/>
          <w:u w:val="single"/>
        </w:rPr>
        <w:t>convention bilatérale générale</w:t>
      </w:r>
      <w:r>
        <w:rPr>
          <w:rFonts w:ascii="Calibri" w:hAnsi="Calibri" w:cs="Calibri"/>
          <w:sz w:val="20"/>
          <w:szCs w:val="20"/>
        </w:rPr>
        <w:t>.</w:t>
      </w:r>
    </w:p>
    <w:p>
      <w:pPr>
        <w:numPr>
          <w:ilvl w:val="3"/>
          <w:numId w:val="54"/>
        </w:numPr>
        <w:tabs>
          <w:tab w:val="left" w:pos="851"/>
        </w:tabs>
        <w:spacing w:before="240" w:after="240"/>
        <w:ind w:left="851" w:hanging="851"/>
        <w:jc w:val="both"/>
        <w:rPr>
          <w:rFonts w:ascii="Calibri" w:hAnsi="Calibri" w:cs="Calibri"/>
          <w:i/>
          <w:u w:val="single"/>
        </w:rPr>
      </w:pPr>
      <w:r>
        <w:rPr>
          <w:rFonts w:ascii="Calibri" w:hAnsi="Calibri" w:cs="Calibri"/>
          <w:i/>
          <w:u w:val="single"/>
        </w:rPr>
        <w:t>Convention bilatérale générale</w:t>
      </w:r>
    </w:p>
    <w:p>
      <w:pPr>
        <w:numPr>
          <w:ilvl w:val="0"/>
          <w:numId w:val="82"/>
        </w:numPr>
        <w:spacing w:after="120"/>
        <w:jc w:val="both"/>
        <w:rPr>
          <w:rFonts w:ascii="Calibri" w:hAnsi="Calibri" w:cs="Calibri"/>
          <w:b/>
          <w:i/>
          <w:sz w:val="20"/>
          <w:szCs w:val="20"/>
        </w:rPr>
      </w:pPr>
      <w:r>
        <w:rPr>
          <w:rFonts w:ascii="Calibri" w:hAnsi="Calibri" w:cs="Calibri"/>
          <w:b/>
          <w:i/>
          <w:sz w:val="20"/>
          <w:szCs w:val="20"/>
        </w:rPr>
        <w:t>Quel est l’objet de cette convention ?</w:t>
      </w:r>
    </w:p>
    <w:p>
      <w:pPr>
        <w:spacing w:after="120"/>
        <w:jc w:val="both"/>
        <w:rPr>
          <w:rFonts w:ascii="Calibri" w:hAnsi="Calibri" w:cs="Calibri"/>
          <w:sz w:val="20"/>
          <w:szCs w:val="20"/>
        </w:rPr>
      </w:pPr>
      <w:r>
        <w:rPr>
          <w:rFonts w:ascii="Calibri" w:hAnsi="Calibri" w:cs="Calibri"/>
          <w:sz w:val="20"/>
          <w:szCs w:val="20"/>
        </w:rPr>
        <w:t>La convention bilatérale générale prévoit les engagements respectifs des parties en matière de modalités d’accès aux équipements et de programme de formation spécifique.</w:t>
      </w:r>
    </w:p>
    <w:p>
      <w:pPr>
        <w:numPr>
          <w:ilvl w:val="0"/>
          <w:numId w:val="82"/>
        </w:numPr>
        <w:spacing w:after="120"/>
        <w:jc w:val="both"/>
        <w:rPr>
          <w:rFonts w:ascii="Calibri" w:hAnsi="Calibri" w:cs="Calibri"/>
          <w:b/>
          <w:i/>
          <w:sz w:val="20"/>
          <w:szCs w:val="20"/>
        </w:rPr>
      </w:pPr>
      <w:r>
        <w:rPr>
          <w:rFonts w:ascii="Calibri" w:hAnsi="Calibri" w:cs="Calibri"/>
          <w:b/>
          <w:i/>
          <w:sz w:val="20"/>
          <w:szCs w:val="20"/>
        </w:rPr>
        <w:t>Quand doit-elle être conclue ?</w:t>
      </w:r>
    </w:p>
    <w:p>
      <w:pPr>
        <w:spacing w:after="120"/>
        <w:jc w:val="both"/>
        <w:rPr>
          <w:rFonts w:ascii="Calibri" w:hAnsi="Calibri" w:cs="Calibri"/>
          <w:sz w:val="20"/>
          <w:szCs w:val="20"/>
        </w:rPr>
      </w:pPr>
      <w:r>
        <w:rPr>
          <w:rFonts w:ascii="Calibri" w:hAnsi="Calibri" w:cs="Calibri"/>
          <w:sz w:val="20"/>
          <w:szCs w:val="20"/>
        </w:rPr>
        <w:t xml:space="preserve">La convention bilatérale générale doit être conclue lorsque débute une collaboration avec un nouvel utilisateur et doit être renouvelée tous les deux ans. </w:t>
      </w:r>
    </w:p>
    <w:p>
      <w:pPr>
        <w:spacing w:after="120"/>
        <w:jc w:val="both"/>
        <w:rPr>
          <w:rFonts w:ascii="Calibri" w:hAnsi="Calibri" w:cs="Calibri"/>
          <w:sz w:val="20"/>
          <w:szCs w:val="20"/>
        </w:rPr>
      </w:pPr>
      <w:r>
        <w:rPr>
          <w:rFonts w:ascii="Calibri" w:hAnsi="Calibri" w:cs="Calibri"/>
          <w:sz w:val="20"/>
          <w:szCs w:val="20"/>
        </w:rPr>
        <w:t xml:space="preserve">Elle est à signer en deux exemplaires, un pour chacun des signataires. </w:t>
      </w:r>
      <w:r>
        <w:rPr>
          <w:rFonts w:ascii="Calibri" w:hAnsi="Calibri" w:cs="Calibri"/>
          <w:b/>
          <w:i/>
          <w:sz w:val="20"/>
          <w:szCs w:val="20"/>
        </w:rPr>
        <w:t xml:space="preserve">Une copie numérique doit </w:t>
      </w:r>
      <w:r>
        <w:rPr>
          <w:rFonts w:ascii="Calibri" w:hAnsi="Calibri" w:cs="Calibri"/>
          <w:b/>
          <w:i/>
          <w:sz w:val="20"/>
          <w:szCs w:val="20"/>
          <w:u w:val="single"/>
        </w:rPr>
        <w:t>systématiquement</w:t>
      </w:r>
      <w:r>
        <w:rPr>
          <w:rFonts w:ascii="Calibri" w:hAnsi="Calibri" w:cs="Calibri"/>
          <w:b/>
          <w:i/>
          <w:sz w:val="20"/>
          <w:szCs w:val="20"/>
        </w:rPr>
        <w:t xml:space="preserve"> être envoyée à l’administration</w:t>
      </w:r>
      <w:r>
        <w:rPr>
          <w:rFonts w:ascii="Calibri" w:hAnsi="Calibri" w:cs="Calibri"/>
          <w:sz w:val="20"/>
          <w:szCs w:val="20"/>
        </w:rPr>
        <w:t>.</w:t>
      </w:r>
    </w:p>
    <w:p>
      <w:pPr>
        <w:rPr>
          <w:rFonts w:ascii="Calibri" w:hAnsi="Calibri" w:cs="Calibri"/>
          <w:b/>
          <w:i/>
          <w:sz w:val="20"/>
          <w:szCs w:val="20"/>
        </w:rPr>
      </w:pPr>
      <w:r>
        <w:rPr>
          <w:rFonts w:ascii="Calibri" w:hAnsi="Calibri" w:cs="Calibri"/>
          <w:b/>
          <w:i/>
          <w:sz w:val="20"/>
          <w:szCs w:val="20"/>
        </w:rPr>
        <w:br w:type="page"/>
      </w:r>
    </w:p>
    <w:p>
      <w:pPr>
        <w:numPr>
          <w:ilvl w:val="0"/>
          <w:numId w:val="82"/>
        </w:numPr>
        <w:spacing w:after="120"/>
        <w:jc w:val="both"/>
        <w:rPr>
          <w:rFonts w:ascii="Calibri" w:hAnsi="Calibri" w:cs="Calibri"/>
          <w:b/>
          <w:i/>
          <w:sz w:val="20"/>
          <w:szCs w:val="20"/>
        </w:rPr>
      </w:pPr>
      <w:r>
        <w:rPr>
          <w:rFonts w:ascii="Calibri" w:hAnsi="Calibri" w:cs="Calibri"/>
          <w:b/>
          <w:i/>
          <w:sz w:val="20"/>
          <w:szCs w:val="20"/>
        </w:rPr>
        <w:lastRenderedPageBreak/>
        <w:t>Qui en sont les signataires ?</w:t>
      </w:r>
    </w:p>
    <w:p>
      <w:pPr>
        <w:spacing w:after="120"/>
        <w:jc w:val="both"/>
        <w:rPr>
          <w:rFonts w:ascii="Calibri" w:hAnsi="Calibri" w:cs="Calibri"/>
          <w:sz w:val="20"/>
          <w:szCs w:val="20"/>
        </w:rPr>
      </w:pPr>
      <w:r>
        <w:rPr>
          <w:rFonts w:ascii="Calibri" w:hAnsi="Calibri" w:cs="Calibri"/>
          <w:sz w:val="20"/>
          <w:szCs w:val="20"/>
        </w:rPr>
        <w:t>Les signataires en sont :</w:t>
      </w:r>
    </w:p>
    <w:p>
      <w:pPr>
        <w:numPr>
          <w:ilvl w:val="0"/>
          <w:numId w:val="31"/>
        </w:numPr>
        <w:spacing w:after="120"/>
        <w:jc w:val="both"/>
        <w:rPr>
          <w:rFonts w:ascii="Calibri" w:hAnsi="Calibri" w:cs="Calibri"/>
          <w:sz w:val="20"/>
          <w:szCs w:val="20"/>
        </w:rPr>
      </w:pPr>
      <w:r>
        <w:rPr>
          <w:rFonts w:ascii="Calibri" w:hAnsi="Calibri" w:cs="Calibri"/>
          <w:sz w:val="20"/>
          <w:szCs w:val="20"/>
        </w:rPr>
        <w:t>le représentant du pouvoir organisateur de l’établissement d’enseignement secondaire au sein duquel est établi le CTA</w:t>
      </w:r>
    </w:p>
    <w:p>
      <w:pPr>
        <w:numPr>
          <w:ilvl w:val="0"/>
          <w:numId w:val="31"/>
        </w:numPr>
        <w:spacing w:after="120"/>
        <w:jc w:val="both"/>
        <w:rPr>
          <w:rFonts w:ascii="Calibri" w:hAnsi="Calibri" w:cs="Calibri"/>
          <w:sz w:val="20"/>
          <w:szCs w:val="20"/>
        </w:rPr>
      </w:pPr>
      <w:r>
        <w:rPr>
          <w:rFonts w:ascii="Calibri" w:hAnsi="Calibri" w:cs="Calibri"/>
          <w:sz w:val="20"/>
          <w:szCs w:val="20"/>
        </w:rPr>
        <w:t>et, selon les cas :</w:t>
      </w:r>
    </w:p>
    <w:p>
      <w:pPr>
        <w:numPr>
          <w:ilvl w:val="0"/>
          <w:numId w:val="25"/>
        </w:numPr>
        <w:tabs>
          <w:tab w:val="clear" w:pos="2160"/>
          <w:tab w:val="num" w:pos="1134"/>
        </w:tabs>
        <w:spacing w:after="120"/>
        <w:ind w:left="1134" w:hanging="357"/>
        <w:jc w:val="both"/>
        <w:rPr>
          <w:rFonts w:ascii="Calibri" w:hAnsi="Calibri" w:cs="Calibri"/>
          <w:sz w:val="20"/>
          <w:szCs w:val="20"/>
        </w:rPr>
      </w:pPr>
      <w:r>
        <w:rPr>
          <w:rFonts w:ascii="Calibri" w:hAnsi="Calibri" w:cs="Calibri"/>
          <w:sz w:val="20"/>
          <w:szCs w:val="20"/>
        </w:rPr>
        <w:t>le représentant du pouvoir organisateur de l’établissement d’enseignement obligatoire, d’enseignement de promotion sociale ou d’enseignement supérieur désirant organiser un cycle de formation au sein du CTA</w:t>
      </w:r>
      <w:r>
        <w:rPr>
          <w:rFonts w:asciiTheme="minorHAnsi" w:hAnsiTheme="minorHAnsi" w:cstheme="minorHAnsi"/>
          <w:sz w:val="20"/>
          <w:szCs w:val="20"/>
          <w:vertAlign w:val="superscript"/>
        </w:rPr>
        <w:footnoteReference w:id="2"/>
      </w:r>
    </w:p>
    <w:p>
      <w:pPr>
        <w:numPr>
          <w:ilvl w:val="0"/>
          <w:numId w:val="25"/>
        </w:numPr>
        <w:tabs>
          <w:tab w:val="clear" w:pos="2160"/>
          <w:tab w:val="num" w:pos="1134"/>
        </w:tabs>
        <w:spacing w:after="120"/>
        <w:ind w:left="1134" w:hanging="357"/>
        <w:jc w:val="both"/>
        <w:rPr>
          <w:rFonts w:ascii="Calibri" w:hAnsi="Calibri" w:cs="Calibri"/>
          <w:sz w:val="20"/>
          <w:szCs w:val="20"/>
        </w:rPr>
      </w:pPr>
      <w:r>
        <w:rPr>
          <w:rFonts w:ascii="Calibri" w:hAnsi="Calibri" w:cs="Calibri"/>
          <w:sz w:val="20"/>
          <w:szCs w:val="20"/>
        </w:rPr>
        <w:t>le représentant du Forem ou de Bruxelles-Formation pour les CDC Forem et les CDR</w:t>
      </w:r>
    </w:p>
    <w:p>
      <w:pPr>
        <w:numPr>
          <w:ilvl w:val="0"/>
          <w:numId w:val="25"/>
        </w:numPr>
        <w:tabs>
          <w:tab w:val="clear" w:pos="2160"/>
          <w:tab w:val="num" w:pos="1134"/>
        </w:tabs>
        <w:spacing w:after="120"/>
        <w:ind w:left="1134" w:hanging="357"/>
        <w:jc w:val="both"/>
        <w:rPr>
          <w:rFonts w:ascii="Calibri" w:hAnsi="Calibri" w:cs="Calibri"/>
          <w:sz w:val="20"/>
          <w:szCs w:val="20"/>
        </w:rPr>
      </w:pPr>
      <w:r>
        <w:rPr>
          <w:rFonts w:ascii="Calibri" w:hAnsi="Calibri" w:cs="Calibri"/>
          <w:sz w:val="20"/>
          <w:szCs w:val="20"/>
        </w:rPr>
        <w:t>le directeur pour les CDC constitués en asbl</w:t>
      </w:r>
    </w:p>
    <w:p>
      <w:pPr>
        <w:numPr>
          <w:ilvl w:val="0"/>
          <w:numId w:val="25"/>
        </w:numPr>
        <w:tabs>
          <w:tab w:val="clear" w:pos="2160"/>
          <w:tab w:val="num" w:pos="1134"/>
        </w:tabs>
        <w:spacing w:after="120"/>
        <w:ind w:left="1134" w:hanging="357"/>
        <w:jc w:val="both"/>
        <w:rPr>
          <w:rFonts w:ascii="Calibri" w:hAnsi="Calibri" w:cs="Calibri"/>
          <w:sz w:val="20"/>
          <w:szCs w:val="20"/>
        </w:rPr>
      </w:pPr>
      <w:r>
        <w:rPr>
          <w:rFonts w:ascii="Calibri" w:hAnsi="Calibri" w:cs="Calibri"/>
          <w:sz w:val="20"/>
          <w:szCs w:val="20"/>
        </w:rPr>
        <w:t>le représentant de l’organisme de formation professionnelle (IFAPME, SFPME, secteurs, etc.)</w:t>
      </w:r>
    </w:p>
    <w:p>
      <w:pPr>
        <w:numPr>
          <w:ilvl w:val="0"/>
          <w:numId w:val="25"/>
        </w:numPr>
        <w:tabs>
          <w:tab w:val="clear" w:pos="2160"/>
          <w:tab w:val="num" w:pos="1134"/>
        </w:tabs>
        <w:spacing w:after="120"/>
        <w:ind w:left="1134" w:hanging="357"/>
        <w:jc w:val="both"/>
        <w:rPr>
          <w:rFonts w:ascii="Calibri" w:hAnsi="Calibri" w:cs="Calibri"/>
          <w:sz w:val="20"/>
          <w:szCs w:val="20"/>
        </w:rPr>
      </w:pPr>
      <w:r>
        <w:rPr>
          <w:rFonts w:ascii="Calibri" w:hAnsi="Calibri" w:cs="Calibri"/>
          <w:sz w:val="20"/>
          <w:szCs w:val="20"/>
        </w:rPr>
        <w:t>le représentant de l’entreprise</w:t>
      </w:r>
    </w:p>
    <w:p>
      <w:pPr>
        <w:spacing w:after="120"/>
        <w:jc w:val="both"/>
        <w:rPr>
          <w:rFonts w:ascii="Calibri" w:hAnsi="Calibri" w:cs="Calibri"/>
          <w:sz w:val="20"/>
          <w:szCs w:val="20"/>
        </w:rPr>
      </w:pPr>
      <w:r>
        <w:rPr>
          <w:rFonts w:ascii="Calibri" w:hAnsi="Calibri" w:cs="Calibri"/>
          <w:sz w:val="20"/>
          <w:szCs w:val="20"/>
        </w:rPr>
        <w:t>Dans le cas où les structures signataires des conventions sont des établissements scolaires, leurs représentants doivent être habilités à engager leur pouvoir organisateur.</w:t>
      </w:r>
    </w:p>
    <w:p>
      <w:pPr>
        <w:spacing w:after="120"/>
        <w:jc w:val="both"/>
        <w:rPr>
          <w:rFonts w:ascii="Calibri" w:hAnsi="Calibri" w:cs="Calibri"/>
          <w:sz w:val="20"/>
          <w:szCs w:val="20"/>
        </w:rPr>
      </w:pPr>
      <w:r>
        <w:rPr>
          <w:rFonts w:ascii="Calibri" w:hAnsi="Calibri" w:cs="Calibri"/>
          <w:sz w:val="20"/>
          <w:szCs w:val="20"/>
        </w:rPr>
        <w:t>Si le pouvoir organisateur délègue la signature de ce document au directeur de l’établissement scolaire utilisateur, une copie de l’extrait du conseil d’administration actant cette décision est à joindre à chaque exemplaire de convention bilatérale générale. Une copie numérique de ce document doit également être envoyée à l’administration.</w:t>
      </w:r>
    </w:p>
    <w:p>
      <w:pPr>
        <w:numPr>
          <w:ilvl w:val="0"/>
          <w:numId w:val="82"/>
        </w:numPr>
        <w:spacing w:after="120"/>
        <w:jc w:val="both"/>
        <w:rPr>
          <w:rFonts w:ascii="Calibri" w:hAnsi="Calibri" w:cs="Calibri"/>
          <w:b/>
          <w:i/>
          <w:sz w:val="20"/>
          <w:szCs w:val="20"/>
        </w:rPr>
      </w:pPr>
      <w:r>
        <w:rPr>
          <w:rFonts w:ascii="Calibri" w:hAnsi="Calibri" w:cs="Calibri"/>
          <w:b/>
          <w:i/>
          <w:sz w:val="20"/>
          <w:szCs w:val="20"/>
        </w:rPr>
        <w:t>Que faire si l’utilisateur est issu du même Pouvoir organisateur que le CTA fréquenté ?</w:t>
      </w:r>
    </w:p>
    <w:p>
      <w:pPr>
        <w:spacing w:after="120"/>
        <w:jc w:val="both"/>
        <w:rPr>
          <w:rFonts w:ascii="Calibri" w:hAnsi="Calibri" w:cs="Calibri"/>
          <w:sz w:val="20"/>
          <w:szCs w:val="20"/>
        </w:rPr>
      </w:pPr>
      <w:r>
        <w:rPr>
          <w:rFonts w:ascii="Calibri" w:hAnsi="Calibri" w:cs="Calibri"/>
          <w:sz w:val="20"/>
          <w:szCs w:val="20"/>
        </w:rPr>
        <w:t>Dans ce cas, il n’est pas nécessaire de conclure de convention bilatérale générale.</w:t>
      </w:r>
    </w:p>
    <w:p>
      <w:pPr>
        <w:spacing w:after="120"/>
        <w:jc w:val="both"/>
        <w:rPr>
          <w:rFonts w:ascii="Calibri" w:hAnsi="Calibri" w:cs="Calibri"/>
          <w:sz w:val="20"/>
          <w:szCs w:val="20"/>
        </w:rPr>
      </w:pPr>
      <w:r>
        <w:rPr>
          <w:rFonts w:ascii="Calibri" w:hAnsi="Calibri" w:cs="Calibri"/>
          <w:sz w:val="20"/>
          <w:szCs w:val="20"/>
        </w:rPr>
        <w:t>Le CTA doit cependant veiller à ce que s’opère l’échange d’informations nécessaires à la préparation optimale de la formation, à savoir :</w:t>
      </w:r>
    </w:p>
    <w:p>
      <w:pPr>
        <w:pStyle w:val="Paragraphedeliste"/>
        <w:numPr>
          <w:ilvl w:val="0"/>
          <w:numId w:val="105"/>
        </w:numPr>
        <w:spacing w:after="120"/>
        <w:jc w:val="both"/>
        <w:rPr>
          <w:rFonts w:ascii="Calibri" w:hAnsi="Calibri" w:cs="Calibri"/>
          <w:sz w:val="20"/>
          <w:szCs w:val="20"/>
        </w:rPr>
      </w:pPr>
      <w:r>
        <w:rPr>
          <w:rFonts w:ascii="Calibri" w:hAnsi="Calibri" w:cs="Calibri"/>
          <w:sz w:val="20"/>
          <w:szCs w:val="20"/>
        </w:rPr>
        <w:t>Transmettre à l’opérateur-utilisateur les documents utiles tel que l’analyse des risques des équipements qui seront manipulés, le règlement d’ordre intérieur du CTA et le programme de la formation réservée ;</w:t>
      </w:r>
    </w:p>
    <w:p>
      <w:pPr>
        <w:pStyle w:val="Paragraphedeliste"/>
        <w:numPr>
          <w:ilvl w:val="0"/>
          <w:numId w:val="105"/>
        </w:numPr>
        <w:spacing w:after="120"/>
        <w:jc w:val="both"/>
        <w:rPr>
          <w:rFonts w:ascii="Calibri" w:hAnsi="Calibri" w:cs="Calibri"/>
          <w:sz w:val="20"/>
          <w:szCs w:val="20"/>
        </w:rPr>
      </w:pPr>
      <w:r>
        <w:rPr>
          <w:rFonts w:ascii="Calibri" w:hAnsi="Calibri" w:cs="Calibri"/>
          <w:sz w:val="20"/>
          <w:szCs w:val="20"/>
        </w:rPr>
        <w:t>Réceptionner les informations utiles concernant les participants à la formation : nom, prénom et date de naissance des participants, coordonnées de l’opérateur-utilisateur et d’une personne de contact.</w:t>
      </w:r>
    </w:p>
    <w:p>
      <w:pPr>
        <w:numPr>
          <w:ilvl w:val="0"/>
          <w:numId w:val="82"/>
        </w:numPr>
        <w:spacing w:after="120"/>
        <w:jc w:val="both"/>
        <w:rPr>
          <w:rFonts w:ascii="Calibri" w:hAnsi="Calibri" w:cs="Calibri"/>
          <w:b/>
          <w:i/>
          <w:sz w:val="20"/>
          <w:szCs w:val="20"/>
        </w:rPr>
      </w:pPr>
      <w:r>
        <w:rPr>
          <w:rFonts w:ascii="Calibri" w:hAnsi="Calibri" w:cs="Calibri"/>
          <w:b/>
          <w:i/>
          <w:sz w:val="20"/>
          <w:szCs w:val="20"/>
        </w:rPr>
        <w:t>Quel modèle de convention utiliser ?</w:t>
      </w:r>
    </w:p>
    <w:p>
      <w:pPr>
        <w:spacing w:after="120"/>
        <w:jc w:val="both"/>
        <w:rPr>
          <w:rFonts w:ascii="Calibri" w:hAnsi="Calibri" w:cs="Calibri"/>
          <w:sz w:val="20"/>
          <w:szCs w:val="20"/>
        </w:rPr>
      </w:pPr>
      <w:r>
        <w:rPr>
          <w:rFonts w:ascii="Calibri" w:hAnsi="Calibri" w:cs="Calibri"/>
          <w:sz w:val="20"/>
          <w:szCs w:val="20"/>
        </w:rPr>
        <w:t>Il y a quatre modèles de convention bilatérale générale :</w:t>
      </w:r>
    </w:p>
    <w:p>
      <w:pPr>
        <w:numPr>
          <w:ilvl w:val="0"/>
          <w:numId w:val="31"/>
        </w:numPr>
        <w:spacing w:after="120"/>
        <w:jc w:val="both"/>
        <w:rPr>
          <w:rFonts w:ascii="Calibri" w:hAnsi="Calibri" w:cs="Calibri"/>
          <w:sz w:val="20"/>
          <w:szCs w:val="20"/>
        </w:rPr>
      </w:pPr>
      <w:r>
        <w:rPr>
          <w:rFonts w:ascii="Calibri" w:hAnsi="Calibri" w:cs="Calibri"/>
          <w:sz w:val="20"/>
          <w:szCs w:val="20"/>
        </w:rPr>
        <w:t xml:space="preserve">pour les opérateurs-utilisateurs issus de l’enseignement obligatoire, y compris les organismes de formation continue (IFC, FCC, FORCAR) (voir </w:t>
      </w:r>
      <w:r>
        <w:rPr>
          <w:rFonts w:ascii="Calibri" w:hAnsi="Calibri" w:cs="Calibri"/>
          <w:b/>
          <w:sz w:val="20"/>
          <w:szCs w:val="20"/>
          <w:u w:val="single"/>
        </w:rPr>
        <w:t>annexe 3</w:t>
      </w:r>
      <w:r>
        <w:rPr>
          <w:rFonts w:ascii="Calibri" w:hAnsi="Calibri" w:cs="Calibri"/>
          <w:sz w:val="20"/>
          <w:szCs w:val="20"/>
        </w:rPr>
        <w:t>)</w:t>
      </w:r>
    </w:p>
    <w:p>
      <w:pPr>
        <w:numPr>
          <w:ilvl w:val="0"/>
          <w:numId w:val="31"/>
        </w:numPr>
        <w:spacing w:after="120"/>
        <w:jc w:val="both"/>
        <w:rPr>
          <w:rFonts w:ascii="Calibri" w:hAnsi="Calibri" w:cs="Calibri"/>
          <w:sz w:val="20"/>
          <w:szCs w:val="20"/>
        </w:rPr>
      </w:pPr>
      <w:r>
        <w:rPr>
          <w:rFonts w:ascii="Calibri" w:hAnsi="Calibri" w:cs="Calibri"/>
          <w:sz w:val="20"/>
          <w:szCs w:val="20"/>
        </w:rPr>
        <w:t xml:space="preserve">pour les opérateurs-utilisateurs issus de l’enseignement de promotion sociale (voir </w:t>
      </w:r>
      <w:r>
        <w:rPr>
          <w:rFonts w:ascii="Calibri" w:hAnsi="Calibri" w:cs="Calibri"/>
          <w:b/>
          <w:sz w:val="20"/>
          <w:szCs w:val="20"/>
          <w:u w:val="single"/>
        </w:rPr>
        <w:t>annexe 4</w:t>
      </w:r>
      <w:r>
        <w:rPr>
          <w:rFonts w:ascii="Calibri" w:hAnsi="Calibri" w:cs="Calibri"/>
          <w:sz w:val="20"/>
          <w:szCs w:val="20"/>
        </w:rPr>
        <w:t>)</w:t>
      </w:r>
    </w:p>
    <w:p>
      <w:pPr>
        <w:numPr>
          <w:ilvl w:val="0"/>
          <w:numId w:val="31"/>
        </w:numPr>
        <w:spacing w:after="120"/>
        <w:jc w:val="both"/>
        <w:rPr>
          <w:rFonts w:ascii="Calibri" w:hAnsi="Calibri" w:cs="Calibri"/>
          <w:sz w:val="20"/>
          <w:szCs w:val="20"/>
        </w:rPr>
      </w:pPr>
      <w:r>
        <w:rPr>
          <w:rFonts w:ascii="Calibri" w:hAnsi="Calibri" w:cs="Calibri"/>
          <w:sz w:val="20"/>
          <w:szCs w:val="20"/>
        </w:rPr>
        <w:t xml:space="preserve">pour les opérateurs-utilisateurs issus de l’enseignement supérieur (voir </w:t>
      </w:r>
      <w:r>
        <w:rPr>
          <w:rFonts w:ascii="Calibri" w:hAnsi="Calibri" w:cs="Calibri"/>
          <w:b/>
          <w:sz w:val="20"/>
          <w:szCs w:val="20"/>
          <w:u w:val="single"/>
        </w:rPr>
        <w:t>annexe 5</w:t>
      </w:r>
      <w:r>
        <w:rPr>
          <w:rFonts w:ascii="Calibri" w:hAnsi="Calibri" w:cs="Calibri"/>
          <w:sz w:val="20"/>
          <w:szCs w:val="20"/>
        </w:rPr>
        <w:t>)</w:t>
      </w:r>
    </w:p>
    <w:p>
      <w:pPr>
        <w:numPr>
          <w:ilvl w:val="0"/>
          <w:numId w:val="31"/>
        </w:numPr>
        <w:spacing w:after="120"/>
        <w:jc w:val="both"/>
        <w:rPr>
          <w:rFonts w:ascii="Calibri" w:hAnsi="Calibri" w:cs="Calibri"/>
          <w:sz w:val="20"/>
          <w:szCs w:val="20"/>
        </w:rPr>
      </w:pPr>
      <w:r>
        <w:rPr>
          <w:rFonts w:ascii="Calibri" w:hAnsi="Calibri" w:cs="Calibri"/>
          <w:sz w:val="20"/>
          <w:szCs w:val="20"/>
        </w:rPr>
        <w:t xml:space="preserve">pour les autres opérateurs-utilisateurs (voir </w:t>
      </w:r>
      <w:r>
        <w:rPr>
          <w:rFonts w:ascii="Calibri" w:hAnsi="Calibri" w:cs="Calibri"/>
          <w:b/>
          <w:sz w:val="20"/>
          <w:szCs w:val="20"/>
          <w:u w:val="single"/>
        </w:rPr>
        <w:t>annexe 6</w:t>
      </w:r>
      <w:r>
        <w:rPr>
          <w:rFonts w:ascii="Calibri" w:hAnsi="Calibri" w:cs="Calibri"/>
          <w:sz w:val="20"/>
          <w:szCs w:val="20"/>
        </w:rPr>
        <w:t>)</w:t>
      </w:r>
    </w:p>
    <w:p>
      <w:pPr>
        <w:numPr>
          <w:ilvl w:val="3"/>
          <w:numId w:val="54"/>
        </w:numPr>
        <w:tabs>
          <w:tab w:val="left" w:pos="851"/>
        </w:tabs>
        <w:spacing w:before="240" w:after="240"/>
        <w:ind w:left="851" w:hanging="851"/>
        <w:jc w:val="both"/>
        <w:rPr>
          <w:rFonts w:ascii="Calibri" w:hAnsi="Calibri" w:cs="Calibri"/>
          <w:i/>
          <w:u w:val="single"/>
        </w:rPr>
      </w:pPr>
      <w:r>
        <w:rPr>
          <w:rFonts w:ascii="Calibri" w:hAnsi="Calibri" w:cs="Calibri"/>
          <w:i/>
          <w:u w:val="single"/>
        </w:rPr>
        <w:t>Convention spécifique</w:t>
      </w:r>
    </w:p>
    <w:p>
      <w:pPr>
        <w:spacing w:after="120"/>
        <w:jc w:val="both"/>
        <w:rPr>
          <w:rFonts w:ascii="Calibri" w:hAnsi="Calibri" w:cs="Calibri"/>
          <w:sz w:val="20"/>
          <w:szCs w:val="20"/>
        </w:rPr>
      </w:pPr>
      <w:r>
        <w:rPr>
          <w:rFonts w:ascii="Calibri" w:hAnsi="Calibri" w:cs="Calibri"/>
          <w:sz w:val="20"/>
          <w:szCs w:val="20"/>
        </w:rPr>
        <w:t xml:space="preserve">Une convention spécifique précisant la liste des participants peut être signée par le coordonnateur du CTA avant l’organisation de chaque formation avec l’opérateur utilisateur. </w:t>
      </w:r>
    </w:p>
    <w:p>
      <w:pPr>
        <w:spacing w:after="120"/>
        <w:jc w:val="both"/>
        <w:rPr>
          <w:rFonts w:ascii="Calibri" w:hAnsi="Calibri" w:cs="Calibri"/>
          <w:sz w:val="20"/>
          <w:szCs w:val="20"/>
        </w:rPr>
      </w:pPr>
      <w:r>
        <w:rPr>
          <w:rFonts w:ascii="Calibri" w:hAnsi="Calibri" w:cs="Calibri"/>
          <w:sz w:val="20"/>
          <w:szCs w:val="20"/>
        </w:rPr>
        <w:t xml:space="preserve">Qu’une convention spécifique soit signée ou pas, l’opérateur utilisateur devra fournir au CTA la liste des participants ainsi que l’identité du formateur </w:t>
      </w:r>
      <w:r>
        <w:rPr>
          <w:rFonts w:ascii="Calibri" w:hAnsi="Calibri" w:cs="Calibri"/>
          <w:b/>
          <w:sz w:val="20"/>
          <w:szCs w:val="20"/>
          <w:u w:val="single"/>
        </w:rPr>
        <w:t>au plus tard le premier jour de la formation</w:t>
      </w:r>
      <w:r>
        <w:rPr>
          <w:rFonts w:ascii="Calibri" w:hAnsi="Calibri" w:cs="Calibri"/>
          <w:sz w:val="20"/>
          <w:szCs w:val="20"/>
        </w:rPr>
        <w:t>. Le CTA devra quant à lui obligatoirement communiquer les renseignements suivants aux futurs utilisateurs avant le début de la formation :</w:t>
      </w:r>
      <w:r>
        <w:rPr>
          <w:rFonts w:ascii="Calibri" w:hAnsi="Calibri" w:cs="Calibri"/>
          <w:sz w:val="20"/>
          <w:szCs w:val="20"/>
        </w:rPr>
        <w:br w:type="page"/>
      </w:r>
    </w:p>
    <w:p>
      <w:pPr>
        <w:numPr>
          <w:ilvl w:val="0"/>
          <w:numId w:val="31"/>
        </w:numPr>
        <w:spacing w:after="120"/>
        <w:jc w:val="both"/>
        <w:rPr>
          <w:rFonts w:ascii="Calibri" w:hAnsi="Calibri" w:cs="Calibri"/>
          <w:sz w:val="20"/>
          <w:szCs w:val="20"/>
        </w:rPr>
      </w:pPr>
      <w:r>
        <w:rPr>
          <w:rFonts w:ascii="Calibri" w:hAnsi="Calibri" w:cs="Calibri"/>
          <w:sz w:val="20"/>
          <w:szCs w:val="20"/>
        </w:rPr>
        <w:lastRenderedPageBreak/>
        <w:t>le règlement d’ordre intérieur du CTA (voir point 5.4)</w:t>
      </w:r>
    </w:p>
    <w:p>
      <w:pPr>
        <w:numPr>
          <w:ilvl w:val="0"/>
          <w:numId w:val="31"/>
        </w:numPr>
        <w:spacing w:after="120"/>
        <w:jc w:val="both"/>
        <w:rPr>
          <w:rFonts w:ascii="Calibri" w:hAnsi="Calibri" w:cs="Calibri"/>
          <w:sz w:val="20"/>
          <w:szCs w:val="20"/>
        </w:rPr>
      </w:pPr>
      <w:r>
        <w:rPr>
          <w:rFonts w:ascii="Calibri" w:hAnsi="Calibri" w:cs="Calibri"/>
          <w:sz w:val="20"/>
          <w:szCs w:val="20"/>
        </w:rPr>
        <w:t>le programme de la formation (voir point 6.2)</w:t>
      </w:r>
    </w:p>
    <w:p>
      <w:pPr>
        <w:numPr>
          <w:ilvl w:val="0"/>
          <w:numId w:val="31"/>
        </w:numPr>
        <w:spacing w:after="120"/>
        <w:jc w:val="both"/>
        <w:rPr>
          <w:rFonts w:ascii="Calibri" w:hAnsi="Calibri" w:cs="Calibri"/>
          <w:sz w:val="20"/>
          <w:szCs w:val="20"/>
        </w:rPr>
      </w:pPr>
      <w:r>
        <w:rPr>
          <w:rFonts w:ascii="Calibri" w:hAnsi="Calibri" w:cs="Calibri"/>
          <w:sz w:val="20"/>
          <w:szCs w:val="20"/>
        </w:rPr>
        <w:t>l’analyse des risques pour les équipements proposés (voir point 10.5)</w:t>
      </w:r>
    </w:p>
    <w:p>
      <w:pPr>
        <w:numPr>
          <w:ilvl w:val="1"/>
          <w:numId w:val="54"/>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t>Coûts des formations</w:t>
      </w:r>
    </w:p>
    <w:p>
      <w:pPr>
        <w:spacing w:after="120"/>
        <w:jc w:val="both"/>
        <w:rPr>
          <w:rFonts w:ascii="Calibri" w:hAnsi="Calibri" w:cs="Calibri"/>
          <w:sz w:val="20"/>
          <w:szCs w:val="20"/>
        </w:rPr>
      </w:pPr>
      <w:r>
        <w:rPr>
          <w:rFonts w:ascii="Calibri" w:hAnsi="Calibri" w:cs="Calibri"/>
          <w:sz w:val="20"/>
          <w:szCs w:val="20"/>
        </w:rPr>
        <w:t>Sont entièrement pris en charge par la Fédération Wallonie-Bruxelles les coûts de formation des élèves et des enseignants :</w:t>
      </w:r>
    </w:p>
    <w:p>
      <w:pPr>
        <w:numPr>
          <w:ilvl w:val="0"/>
          <w:numId w:val="32"/>
        </w:numPr>
        <w:spacing w:after="120"/>
        <w:jc w:val="both"/>
        <w:rPr>
          <w:rFonts w:ascii="Calibri" w:hAnsi="Calibri" w:cs="Calibri"/>
          <w:sz w:val="20"/>
          <w:szCs w:val="20"/>
        </w:rPr>
      </w:pPr>
      <w:r>
        <w:rPr>
          <w:rFonts w:ascii="Calibri" w:hAnsi="Calibri" w:cs="Calibri"/>
          <w:sz w:val="20"/>
          <w:szCs w:val="20"/>
        </w:rPr>
        <w:t>de la 4</w:t>
      </w:r>
      <w:r>
        <w:rPr>
          <w:rFonts w:ascii="Calibri" w:hAnsi="Calibri" w:cs="Calibri"/>
          <w:sz w:val="20"/>
          <w:szCs w:val="20"/>
          <w:vertAlign w:val="superscript"/>
        </w:rPr>
        <w:t>e</w:t>
      </w:r>
      <w:r>
        <w:rPr>
          <w:rFonts w:ascii="Calibri" w:hAnsi="Calibri" w:cs="Calibri"/>
          <w:sz w:val="20"/>
          <w:szCs w:val="20"/>
        </w:rPr>
        <w:t xml:space="preserve"> année de l’enseignement secondaire ordinaire et spécialisé de forme 4 organisée dans le régime de la CPU (</w:t>
      </w:r>
      <w:r>
        <w:rPr>
          <w:rFonts w:ascii="Calibri" w:hAnsi="Calibri" w:cs="Calibri"/>
          <w:b/>
          <w:sz w:val="20"/>
          <w:szCs w:val="20"/>
          <w:u w:val="single"/>
        </w:rPr>
        <w:t>à partir du 1</w:t>
      </w:r>
      <w:r>
        <w:rPr>
          <w:rFonts w:ascii="Calibri" w:hAnsi="Calibri" w:cs="Calibri"/>
          <w:b/>
          <w:sz w:val="20"/>
          <w:szCs w:val="20"/>
          <w:u w:val="single"/>
          <w:vertAlign w:val="superscript"/>
        </w:rPr>
        <w:t>er</w:t>
      </w:r>
      <w:r>
        <w:rPr>
          <w:rFonts w:ascii="Calibri" w:hAnsi="Calibri" w:cs="Calibri"/>
          <w:b/>
          <w:sz w:val="20"/>
          <w:szCs w:val="20"/>
          <w:u w:val="single"/>
        </w:rPr>
        <w:t xml:space="preserve"> septembre 2018</w:t>
      </w:r>
      <w:r>
        <w:rPr>
          <w:rFonts w:ascii="Calibri" w:hAnsi="Calibri" w:cs="Calibri"/>
          <w:sz w:val="20"/>
          <w:szCs w:val="20"/>
        </w:rPr>
        <w:t>)</w:t>
      </w:r>
    </w:p>
    <w:p>
      <w:pPr>
        <w:numPr>
          <w:ilvl w:val="0"/>
          <w:numId w:val="32"/>
        </w:numPr>
        <w:spacing w:after="120"/>
        <w:jc w:val="both"/>
        <w:rPr>
          <w:rFonts w:ascii="Calibri" w:hAnsi="Calibri" w:cs="Calibri"/>
          <w:sz w:val="20"/>
          <w:szCs w:val="20"/>
        </w:rPr>
      </w:pPr>
      <w:r>
        <w:rPr>
          <w:rFonts w:ascii="Calibri" w:hAnsi="Calibri" w:cs="Calibri"/>
          <w:sz w:val="20"/>
          <w:szCs w:val="20"/>
        </w:rPr>
        <w:t>des 3</w:t>
      </w:r>
      <w:r>
        <w:rPr>
          <w:rFonts w:ascii="Calibri" w:hAnsi="Calibri" w:cs="Calibri"/>
          <w:sz w:val="20"/>
          <w:szCs w:val="20"/>
          <w:vertAlign w:val="superscript"/>
        </w:rPr>
        <w:t>e</w:t>
      </w:r>
      <w:r>
        <w:rPr>
          <w:rFonts w:ascii="Calibri" w:hAnsi="Calibri" w:cs="Calibri"/>
          <w:sz w:val="20"/>
          <w:szCs w:val="20"/>
        </w:rPr>
        <w:t xml:space="preserve"> et 4</w:t>
      </w:r>
      <w:r>
        <w:rPr>
          <w:rFonts w:ascii="Calibri" w:hAnsi="Calibri" w:cs="Calibri"/>
          <w:sz w:val="20"/>
          <w:szCs w:val="20"/>
          <w:vertAlign w:val="superscript"/>
        </w:rPr>
        <w:t>e</w:t>
      </w:r>
      <w:r>
        <w:rPr>
          <w:rFonts w:ascii="Calibri" w:hAnsi="Calibri" w:cs="Calibri"/>
          <w:sz w:val="20"/>
          <w:szCs w:val="20"/>
        </w:rPr>
        <w:t xml:space="preserve"> degrés des options techniques de qualification et professionnelles de l’enseignement secondaire ordinaire de plein exercice et en alternance</w:t>
      </w:r>
    </w:p>
    <w:p>
      <w:pPr>
        <w:numPr>
          <w:ilvl w:val="0"/>
          <w:numId w:val="32"/>
        </w:numPr>
        <w:spacing w:after="120"/>
        <w:jc w:val="both"/>
        <w:rPr>
          <w:rFonts w:ascii="Calibri" w:hAnsi="Calibri" w:cs="Calibri"/>
          <w:sz w:val="20"/>
          <w:szCs w:val="20"/>
        </w:rPr>
      </w:pPr>
      <w:r>
        <w:rPr>
          <w:rFonts w:ascii="Calibri" w:hAnsi="Calibri" w:cs="Calibri"/>
          <w:sz w:val="20"/>
          <w:szCs w:val="20"/>
        </w:rPr>
        <w:t>du 3</w:t>
      </w:r>
      <w:r>
        <w:rPr>
          <w:rFonts w:ascii="Calibri" w:hAnsi="Calibri" w:cs="Calibri"/>
          <w:sz w:val="20"/>
          <w:szCs w:val="20"/>
          <w:vertAlign w:val="superscript"/>
        </w:rPr>
        <w:t>e</w:t>
      </w:r>
      <w:r>
        <w:rPr>
          <w:rFonts w:ascii="Calibri" w:hAnsi="Calibri" w:cs="Calibri"/>
          <w:sz w:val="20"/>
          <w:szCs w:val="20"/>
        </w:rPr>
        <w:t xml:space="preserve"> degré des options techniques de qualification et professionnelle de l’enseignement secondaire spécialisé de forme 4 de plein exercice et en alternance</w:t>
      </w:r>
    </w:p>
    <w:p>
      <w:pPr>
        <w:numPr>
          <w:ilvl w:val="0"/>
          <w:numId w:val="32"/>
        </w:numPr>
        <w:spacing w:after="120"/>
        <w:jc w:val="both"/>
        <w:rPr>
          <w:rFonts w:ascii="Calibri" w:hAnsi="Calibri" w:cs="Calibri"/>
          <w:sz w:val="20"/>
          <w:szCs w:val="20"/>
        </w:rPr>
      </w:pPr>
      <w:r>
        <w:rPr>
          <w:rFonts w:ascii="Calibri" w:hAnsi="Calibri" w:cs="Calibri"/>
          <w:sz w:val="20"/>
          <w:szCs w:val="20"/>
        </w:rPr>
        <w:t>de la 3</w:t>
      </w:r>
      <w:r>
        <w:rPr>
          <w:rFonts w:ascii="Calibri" w:hAnsi="Calibri" w:cs="Calibri"/>
          <w:sz w:val="20"/>
          <w:szCs w:val="20"/>
          <w:vertAlign w:val="superscript"/>
        </w:rPr>
        <w:t>e</w:t>
      </w:r>
      <w:r>
        <w:rPr>
          <w:rFonts w:ascii="Calibri" w:hAnsi="Calibri" w:cs="Calibri"/>
          <w:sz w:val="20"/>
          <w:szCs w:val="20"/>
        </w:rPr>
        <w:t xml:space="preserve"> phase de l’enseignement secondaire spécialisé de forme 3 de plein exercice et en alternance</w:t>
      </w:r>
    </w:p>
    <w:p>
      <w:pPr>
        <w:numPr>
          <w:ilvl w:val="0"/>
          <w:numId w:val="32"/>
        </w:numPr>
        <w:spacing w:after="120"/>
        <w:jc w:val="both"/>
        <w:rPr>
          <w:rFonts w:ascii="Calibri" w:hAnsi="Calibri" w:cs="Calibri"/>
          <w:sz w:val="20"/>
          <w:szCs w:val="20"/>
        </w:rPr>
      </w:pPr>
      <w:r>
        <w:rPr>
          <w:rFonts w:ascii="Calibri" w:hAnsi="Calibri" w:cs="Calibri"/>
          <w:sz w:val="20"/>
          <w:szCs w:val="20"/>
        </w:rPr>
        <w:t>du 3</w:t>
      </w:r>
      <w:r>
        <w:rPr>
          <w:rFonts w:ascii="Calibri" w:hAnsi="Calibri" w:cs="Calibri"/>
          <w:sz w:val="20"/>
          <w:szCs w:val="20"/>
          <w:vertAlign w:val="superscript"/>
        </w:rPr>
        <w:t>e</w:t>
      </w:r>
      <w:r>
        <w:rPr>
          <w:rFonts w:ascii="Calibri" w:hAnsi="Calibri" w:cs="Calibri"/>
          <w:sz w:val="20"/>
          <w:szCs w:val="20"/>
        </w:rPr>
        <w:t xml:space="preserve"> degré de l’enseignement technique de la section de transition de l’enseignement secondaire ordinaire</w:t>
      </w:r>
    </w:p>
    <w:p>
      <w:pPr>
        <w:spacing w:after="120"/>
        <w:jc w:val="both"/>
        <w:rPr>
          <w:rFonts w:ascii="Calibri" w:hAnsi="Calibri" w:cs="Calibri"/>
          <w:sz w:val="20"/>
          <w:szCs w:val="20"/>
        </w:rPr>
      </w:pPr>
      <w:r>
        <w:rPr>
          <w:rFonts w:ascii="Calibri" w:hAnsi="Calibri" w:cs="Calibri"/>
          <w:sz w:val="20"/>
          <w:szCs w:val="20"/>
        </w:rPr>
        <w:t xml:space="preserve">La formation est payante pour </w:t>
      </w:r>
      <w:r>
        <w:rPr>
          <w:rFonts w:ascii="Calibri" w:hAnsi="Calibri" w:cs="Calibri"/>
          <w:b/>
          <w:sz w:val="20"/>
          <w:szCs w:val="20"/>
        </w:rPr>
        <w:t>tous les autres publics-cibles</w:t>
      </w:r>
      <w:r>
        <w:rPr>
          <w:rFonts w:ascii="Calibri" w:hAnsi="Calibri" w:cs="Calibri"/>
          <w:sz w:val="20"/>
          <w:szCs w:val="20"/>
        </w:rPr>
        <w:t>. La tarification de ces formations est basée sur la catégorie de frais dans laquelle a été classé le CTA (voir point 7). Cette somme est multipliée par le nombre de présences journalières, soit catégorie de frais x nombre de jours de formation x nombre de personnes présentes. Il est bien entendu que si la formation se déroule sur une demi-journée (voir point 6.3), le montant sera divisé par deux.</w:t>
      </w:r>
    </w:p>
    <w:p>
      <w:pPr>
        <w:numPr>
          <w:ilvl w:val="1"/>
          <w:numId w:val="54"/>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t>Facturation des formations</w:t>
      </w:r>
    </w:p>
    <w:p>
      <w:pPr>
        <w:spacing w:after="120"/>
        <w:jc w:val="both"/>
        <w:rPr>
          <w:rFonts w:ascii="Calibri" w:hAnsi="Calibri" w:cs="Calibri"/>
          <w:sz w:val="20"/>
          <w:szCs w:val="20"/>
        </w:rPr>
      </w:pPr>
      <w:r>
        <w:rPr>
          <w:rFonts w:ascii="Calibri" w:hAnsi="Calibri" w:cs="Calibri"/>
          <w:sz w:val="20"/>
          <w:szCs w:val="20"/>
        </w:rPr>
        <w:t>Comme mentionné au point précédent, les formations organisées à destination des publics-cibles autres que ceux issus de l’enseignement obligatoire sont payantes. Les publics-cibles concernés sont :</w:t>
      </w:r>
    </w:p>
    <w:p>
      <w:pPr>
        <w:numPr>
          <w:ilvl w:val="0"/>
          <w:numId w:val="32"/>
        </w:numPr>
        <w:spacing w:after="120"/>
        <w:jc w:val="both"/>
        <w:rPr>
          <w:rFonts w:ascii="Calibri" w:hAnsi="Calibri" w:cs="Calibri"/>
          <w:sz w:val="20"/>
          <w:szCs w:val="20"/>
        </w:rPr>
      </w:pPr>
      <w:r>
        <w:rPr>
          <w:rFonts w:ascii="Calibri" w:hAnsi="Calibri" w:cs="Calibri"/>
          <w:sz w:val="20"/>
          <w:szCs w:val="20"/>
        </w:rPr>
        <w:t>Les étudiants de l’enseignement de promotion sociale</w:t>
      </w:r>
    </w:p>
    <w:p>
      <w:pPr>
        <w:numPr>
          <w:ilvl w:val="0"/>
          <w:numId w:val="32"/>
        </w:numPr>
        <w:spacing w:after="120"/>
        <w:jc w:val="both"/>
        <w:rPr>
          <w:rFonts w:ascii="Calibri" w:hAnsi="Calibri" w:cs="Calibri"/>
          <w:sz w:val="20"/>
          <w:szCs w:val="20"/>
        </w:rPr>
      </w:pPr>
      <w:r>
        <w:rPr>
          <w:rFonts w:ascii="Calibri" w:hAnsi="Calibri" w:cs="Calibri"/>
          <w:sz w:val="20"/>
          <w:szCs w:val="20"/>
        </w:rPr>
        <w:t xml:space="preserve">Les étudiants de l’enseignement supérieur </w:t>
      </w:r>
    </w:p>
    <w:p>
      <w:pPr>
        <w:numPr>
          <w:ilvl w:val="0"/>
          <w:numId w:val="32"/>
        </w:numPr>
        <w:spacing w:after="120"/>
        <w:jc w:val="both"/>
        <w:rPr>
          <w:rFonts w:ascii="Calibri" w:hAnsi="Calibri" w:cs="Calibri"/>
          <w:sz w:val="20"/>
          <w:szCs w:val="20"/>
        </w:rPr>
      </w:pPr>
      <w:r>
        <w:rPr>
          <w:rFonts w:ascii="Calibri" w:hAnsi="Calibri" w:cs="Calibri"/>
          <w:sz w:val="20"/>
          <w:szCs w:val="20"/>
        </w:rPr>
        <w:t xml:space="preserve">Les demandeurs d’emploi </w:t>
      </w:r>
    </w:p>
    <w:p>
      <w:pPr>
        <w:numPr>
          <w:ilvl w:val="0"/>
          <w:numId w:val="32"/>
        </w:numPr>
        <w:spacing w:after="120"/>
        <w:jc w:val="both"/>
        <w:rPr>
          <w:rFonts w:ascii="Calibri" w:hAnsi="Calibri" w:cs="Calibri"/>
          <w:sz w:val="20"/>
          <w:szCs w:val="20"/>
        </w:rPr>
      </w:pPr>
      <w:r>
        <w:rPr>
          <w:rFonts w:ascii="Calibri" w:hAnsi="Calibri" w:cs="Calibri"/>
          <w:sz w:val="20"/>
          <w:szCs w:val="20"/>
        </w:rPr>
        <w:t>Les travailleurs</w:t>
      </w:r>
    </w:p>
    <w:p>
      <w:pPr>
        <w:numPr>
          <w:ilvl w:val="0"/>
          <w:numId w:val="32"/>
        </w:numPr>
        <w:spacing w:after="120"/>
        <w:jc w:val="both"/>
        <w:rPr>
          <w:rFonts w:ascii="Calibri" w:hAnsi="Calibri" w:cs="Calibri"/>
          <w:sz w:val="20"/>
          <w:szCs w:val="20"/>
        </w:rPr>
      </w:pPr>
      <w:r>
        <w:rPr>
          <w:rFonts w:ascii="Calibri" w:hAnsi="Calibri" w:cs="Calibri"/>
          <w:sz w:val="20"/>
          <w:szCs w:val="20"/>
        </w:rPr>
        <w:t>Les apprenants de l’IFAPME, de l’AWIPH et du SFPME</w:t>
      </w:r>
    </w:p>
    <w:p>
      <w:pPr>
        <w:spacing w:after="120"/>
        <w:jc w:val="both"/>
        <w:rPr>
          <w:rFonts w:ascii="Calibri" w:hAnsi="Calibri" w:cs="Calibri"/>
          <w:sz w:val="20"/>
          <w:szCs w:val="20"/>
        </w:rPr>
      </w:pPr>
      <w:r>
        <w:rPr>
          <w:rFonts w:ascii="Calibri" w:hAnsi="Calibri" w:cs="Calibri"/>
          <w:sz w:val="20"/>
          <w:szCs w:val="20"/>
        </w:rPr>
        <w:t>L’administration se charge de la facturation des formations et du recouvrement des créances.</w:t>
      </w:r>
    </w:p>
    <w:p>
      <w:pPr>
        <w:spacing w:after="120"/>
        <w:jc w:val="both"/>
        <w:rPr>
          <w:rFonts w:ascii="Calibri" w:hAnsi="Calibri" w:cs="Calibri"/>
          <w:b/>
          <w:sz w:val="28"/>
          <w:szCs w:val="28"/>
        </w:rPr>
      </w:pPr>
      <w:r>
        <w:rPr>
          <w:rFonts w:ascii="Calibri" w:hAnsi="Calibri" w:cs="Calibri"/>
          <w:sz w:val="20"/>
          <w:szCs w:val="20"/>
        </w:rPr>
        <w:t>Le Gouvernement de la Fédération Wallonie-Bruxelles pourra dispenser un utilisateur du paiement des coûts de formation uniquement si une convention multilatérale entre celui-ci, l’utilisateur et le CTA précise d’autres modalités de financement.</w:t>
      </w:r>
    </w:p>
    <w:p>
      <w:pPr>
        <w:numPr>
          <w:ilvl w:val="1"/>
          <w:numId w:val="54"/>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t>Encodage des formations</w:t>
      </w:r>
    </w:p>
    <w:p>
      <w:pPr>
        <w:spacing w:after="120"/>
        <w:jc w:val="both"/>
        <w:rPr>
          <w:rFonts w:ascii="Calibri" w:hAnsi="Calibri" w:cs="Calibri"/>
          <w:sz w:val="20"/>
          <w:szCs w:val="20"/>
        </w:rPr>
      </w:pPr>
      <w:r>
        <w:rPr>
          <w:rFonts w:ascii="Calibri" w:hAnsi="Calibri" w:cs="Calibri"/>
          <w:sz w:val="20"/>
          <w:szCs w:val="20"/>
        </w:rPr>
        <w:t>Les CTA sont tenus d’encoder les formations organisées dans un formulaire mis à disposition par l’administration.</w:t>
      </w:r>
    </w:p>
    <w:p>
      <w:pPr>
        <w:spacing w:after="120"/>
        <w:jc w:val="both"/>
        <w:rPr>
          <w:rFonts w:ascii="Calibri" w:hAnsi="Calibri" w:cs="Calibri"/>
          <w:sz w:val="20"/>
          <w:szCs w:val="20"/>
        </w:rPr>
      </w:pPr>
      <w:r>
        <w:rPr>
          <w:rFonts w:ascii="Calibri" w:hAnsi="Calibri" w:cs="Calibri"/>
          <w:sz w:val="20"/>
          <w:szCs w:val="20"/>
        </w:rPr>
        <w:t>Les encodages doivent être tenus à jour régulièrement ; ils doivent être effectués au mieux au jour le jour, ou à tout le moins au terme de chaque trimestre écoulé.</w:t>
      </w:r>
    </w:p>
    <w:p>
      <w:pPr>
        <w:rPr>
          <w:rFonts w:ascii="Calibri" w:hAnsi="Calibri" w:cs="Calibri"/>
          <w:sz w:val="20"/>
          <w:szCs w:val="20"/>
        </w:rPr>
      </w:pPr>
      <w:r>
        <w:rPr>
          <w:rFonts w:ascii="Calibri" w:hAnsi="Calibri" w:cs="Calibri"/>
          <w:sz w:val="20"/>
          <w:szCs w:val="20"/>
        </w:rPr>
        <w:br w:type="page"/>
      </w:r>
    </w:p>
    <w:p>
      <w:pPr>
        <w:spacing w:after="120"/>
        <w:jc w:val="both"/>
        <w:rPr>
          <w:rFonts w:ascii="Calibri" w:hAnsi="Calibri" w:cs="Calibri"/>
          <w:sz w:val="20"/>
          <w:szCs w:val="20"/>
        </w:rPr>
      </w:pPr>
      <w:r>
        <w:rPr>
          <w:rFonts w:ascii="Calibri" w:hAnsi="Calibri" w:cs="Calibri"/>
          <w:sz w:val="20"/>
          <w:szCs w:val="20"/>
        </w:rPr>
        <w:lastRenderedPageBreak/>
        <w:t>Cet outil sert deux buts :</w:t>
      </w:r>
    </w:p>
    <w:p>
      <w:pPr>
        <w:numPr>
          <w:ilvl w:val="0"/>
          <w:numId w:val="38"/>
        </w:numPr>
        <w:spacing w:after="120"/>
        <w:jc w:val="both"/>
        <w:rPr>
          <w:rFonts w:ascii="Calibri" w:hAnsi="Calibri" w:cs="Calibri"/>
          <w:sz w:val="20"/>
          <w:szCs w:val="20"/>
        </w:rPr>
      </w:pPr>
      <w:r>
        <w:rPr>
          <w:rFonts w:ascii="Calibri" w:hAnsi="Calibri" w:cs="Calibri"/>
          <w:sz w:val="20"/>
          <w:szCs w:val="20"/>
        </w:rPr>
        <w:t>fournir les justificatifs nécessaires à la liquidation des subventions (frais de consommables sur base de la fréquentation)</w:t>
      </w:r>
    </w:p>
    <w:p>
      <w:pPr>
        <w:numPr>
          <w:ilvl w:val="0"/>
          <w:numId w:val="38"/>
        </w:numPr>
        <w:spacing w:after="120"/>
        <w:jc w:val="both"/>
        <w:rPr>
          <w:rFonts w:ascii="Calibri" w:hAnsi="Calibri" w:cs="Calibri"/>
          <w:sz w:val="20"/>
          <w:szCs w:val="20"/>
        </w:rPr>
      </w:pPr>
      <w:r>
        <w:rPr>
          <w:rFonts w:ascii="Calibri" w:hAnsi="Calibri" w:cs="Calibri"/>
          <w:sz w:val="20"/>
          <w:szCs w:val="20"/>
        </w:rPr>
        <w:t>permettre d'établir des statistiques de fréquentation de chaque centre, mais aussi de l’ensemble du réseau</w:t>
      </w:r>
    </w:p>
    <w:p>
      <w:pPr>
        <w:spacing w:after="120"/>
        <w:jc w:val="both"/>
        <w:rPr>
          <w:rFonts w:ascii="Calibri" w:hAnsi="Calibri" w:cs="Calibri"/>
          <w:sz w:val="20"/>
          <w:szCs w:val="20"/>
        </w:rPr>
      </w:pPr>
      <w:r>
        <w:rPr>
          <w:rFonts w:ascii="Calibri" w:hAnsi="Calibri" w:cs="Calibri"/>
          <w:sz w:val="20"/>
          <w:szCs w:val="20"/>
        </w:rPr>
        <w:t xml:space="preserve">En outre, une fois ce formulaire complété et validé, il convient d’envoyer à l’administration par voie électronique ou de déposer sur le partage sécurisé (voir point 15) un dossier justificatif comprenant : </w:t>
      </w:r>
    </w:p>
    <w:p>
      <w:pPr>
        <w:numPr>
          <w:ilvl w:val="0"/>
          <w:numId w:val="38"/>
        </w:numPr>
        <w:spacing w:after="120"/>
        <w:jc w:val="both"/>
        <w:rPr>
          <w:rFonts w:ascii="Calibri" w:hAnsi="Calibri" w:cs="Calibri"/>
          <w:sz w:val="20"/>
          <w:szCs w:val="20"/>
        </w:rPr>
      </w:pPr>
      <w:r>
        <w:rPr>
          <w:rFonts w:ascii="Calibri" w:hAnsi="Calibri" w:cs="Calibri"/>
          <w:sz w:val="20"/>
          <w:szCs w:val="20"/>
        </w:rPr>
        <w:t>un document électronique (format PDF) du bordereau récapitulatif signé par le chef de l’établissement accueillant le CTA et des listes de présences signées par les apprenants ;</w:t>
      </w:r>
    </w:p>
    <w:p>
      <w:pPr>
        <w:numPr>
          <w:ilvl w:val="0"/>
          <w:numId w:val="38"/>
        </w:numPr>
        <w:spacing w:after="120"/>
        <w:jc w:val="both"/>
        <w:rPr>
          <w:rFonts w:ascii="Calibri" w:hAnsi="Calibri" w:cs="Calibri"/>
          <w:sz w:val="20"/>
          <w:szCs w:val="20"/>
        </w:rPr>
      </w:pPr>
      <w:r>
        <w:rPr>
          <w:rFonts w:ascii="Calibri" w:hAnsi="Calibri" w:cs="Calibri"/>
          <w:sz w:val="20"/>
          <w:szCs w:val="20"/>
        </w:rPr>
        <w:t>le formulaire d’encodage complété et validé.</w:t>
      </w:r>
    </w:p>
    <w:p>
      <w:pPr>
        <w:spacing w:after="120"/>
        <w:jc w:val="both"/>
        <w:rPr>
          <w:rFonts w:ascii="Calibri" w:hAnsi="Calibri" w:cs="Calibri"/>
          <w:sz w:val="20"/>
          <w:szCs w:val="20"/>
        </w:rPr>
      </w:pPr>
      <w:r>
        <w:rPr>
          <w:rFonts w:ascii="Calibri" w:hAnsi="Calibri" w:cs="Calibri"/>
          <w:sz w:val="20"/>
          <w:szCs w:val="20"/>
        </w:rPr>
        <w:t xml:space="preserve">Ces deux documents doivent </w:t>
      </w:r>
      <w:r>
        <w:rPr>
          <w:rFonts w:ascii="Calibri" w:hAnsi="Calibri" w:cs="Calibri"/>
          <w:b/>
          <w:caps/>
          <w:sz w:val="20"/>
          <w:szCs w:val="20"/>
          <w:u w:val="single"/>
        </w:rPr>
        <w:t>obligatoirement</w:t>
      </w:r>
      <w:r>
        <w:rPr>
          <w:rFonts w:ascii="Calibri" w:hAnsi="Calibri" w:cs="Calibri"/>
          <w:sz w:val="20"/>
          <w:szCs w:val="20"/>
        </w:rPr>
        <w:t xml:space="preserve"> être nommés selon la nomenclature suivante : </w:t>
      </w:r>
    </w:p>
    <w:p>
      <w:pPr>
        <w:spacing w:after="120"/>
        <w:ind w:left="851"/>
        <w:jc w:val="both"/>
        <w:rPr>
          <w:rFonts w:ascii="Calibri" w:hAnsi="Calibri" w:cs="Calibri"/>
          <w:b/>
          <w:sz w:val="20"/>
          <w:szCs w:val="20"/>
        </w:rPr>
      </w:pPr>
      <w:r>
        <w:rPr>
          <w:rFonts w:ascii="Calibri" w:hAnsi="Calibri" w:cs="Calibri"/>
          <w:b/>
          <w:sz w:val="20"/>
          <w:szCs w:val="20"/>
        </w:rPr>
        <w:t xml:space="preserve">N° FASE du CTA – date du début de la formation inversée (aaaammjj) – code de la formation </w:t>
      </w:r>
    </w:p>
    <w:p>
      <w:pPr>
        <w:spacing w:after="120"/>
        <w:jc w:val="both"/>
        <w:rPr>
          <w:rFonts w:ascii="Calibri" w:hAnsi="Calibri" w:cs="Calibri"/>
          <w:sz w:val="20"/>
          <w:szCs w:val="20"/>
        </w:rPr>
      </w:pPr>
      <w:r>
        <w:rPr>
          <w:rFonts w:ascii="Calibri" w:hAnsi="Calibri" w:cs="Calibri"/>
          <w:sz w:val="20"/>
          <w:szCs w:val="20"/>
        </w:rPr>
        <w:t>En effet, chaque CTA doit établir des listes très précises et authentifiées des participants (c'est-à-dire signées par chaque participant présent), selon les modèles fournis par l’administration, pour toute formation et par jour ou demi-jour de formation organisé. Ces listes de présences sont à imprimer sur base des informations encodées dans le formulaire d’encodage mis à disposition des CTA par l’administration.</w:t>
      </w:r>
    </w:p>
    <w:p>
      <w:pPr>
        <w:spacing w:after="120"/>
        <w:jc w:val="both"/>
        <w:rPr>
          <w:rFonts w:ascii="Calibri" w:hAnsi="Calibri" w:cs="Calibri"/>
          <w:sz w:val="20"/>
          <w:szCs w:val="20"/>
        </w:rPr>
      </w:pPr>
      <w:r>
        <w:rPr>
          <w:rFonts w:ascii="Calibri" w:hAnsi="Calibri" w:cs="Calibri"/>
          <w:sz w:val="20"/>
          <w:szCs w:val="20"/>
        </w:rPr>
        <w:t>Ne pas remplir correctement le formulaire ou introduire le dossier justificatif après les délais fixés peut retarder la mise en paiement des subventions. Tout encodage pour l’année écoulée effectué après le 31 janvier de l’année suivante ne sera pas pris en considération pour le décompte annuel de la consommation de la subvention effectué par l’administration.</w:t>
      </w:r>
    </w:p>
    <w:p>
      <w:pPr>
        <w:spacing w:after="120"/>
        <w:jc w:val="both"/>
        <w:rPr>
          <w:rFonts w:ascii="Calibri" w:hAnsi="Calibri" w:cs="Calibri"/>
          <w:sz w:val="20"/>
          <w:szCs w:val="20"/>
        </w:rPr>
      </w:pPr>
      <w:r>
        <w:rPr>
          <w:rFonts w:ascii="Calibri" w:hAnsi="Calibri" w:cs="Calibri"/>
          <w:sz w:val="20"/>
          <w:szCs w:val="20"/>
        </w:rPr>
        <w:t xml:space="preserve">Une présentation de l’outil est systématiquement organisée à destination des nouveaux membres du personnel des CTA à l’occasion de la journée d’information organisée par l’administration au début de chaque année ou lors de leur entrée en fonction (cf. point 12 de la présente circulaire). </w:t>
      </w:r>
    </w:p>
    <w:p>
      <w:pPr>
        <w:spacing w:after="120"/>
        <w:jc w:val="both"/>
        <w:rPr>
          <w:rFonts w:ascii="Calibri" w:hAnsi="Calibri" w:cs="Calibri"/>
          <w:sz w:val="20"/>
          <w:szCs w:val="20"/>
        </w:rPr>
      </w:pPr>
      <w:r>
        <w:rPr>
          <w:rFonts w:ascii="Calibri" w:hAnsi="Calibri" w:cs="Calibri"/>
          <w:sz w:val="20"/>
          <w:szCs w:val="20"/>
        </w:rPr>
        <w:t>Un vade-mecum d’utilisation a été conçu en vue de guider pas à pas les personnes chargées de l’encodage des fréquentations (cf.</w:t>
      </w:r>
      <w:r>
        <w:rPr>
          <w:rFonts w:ascii="Calibri" w:hAnsi="Calibri" w:cs="Calibri"/>
          <w:b/>
          <w:sz w:val="20"/>
          <w:szCs w:val="20"/>
          <w:u w:val="single"/>
        </w:rPr>
        <w:t xml:space="preserve"> annexe 18</w:t>
      </w:r>
      <w:r>
        <w:rPr>
          <w:rFonts w:ascii="Calibri" w:hAnsi="Calibri" w:cs="Calibri"/>
          <w:sz w:val="20"/>
          <w:szCs w:val="20"/>
        </w:rPr>
        <w:t xml:space="preserve"> du présent document). Il est également accessible via le partage sécurisé (cf. point 15 de la présente circulaire) ou disponible sur demande auprès du service CTA de l’administration.</w:t>
      </w:r>
    </w:p>
    <w:p>
      <w:pPr>
        <w:spacing w:after="120"/>
        <w:jc w:val="both"/>
        <w:rPr>
          <w:rFonts w:ascii="Calibri" w:hAnsi="Calibri" w:cs="Calibri"/>
          <w:sz w:val="20"/>
          <w:szCs w:val="20"/>
        </w:rPr>
      </w:pPr>
      <w:r>
        <w:rPr>
          <w:rFonts w:ascii="Calibri" w:hAnsi="Calibri" w:cs="Calibri"/>
          <w:sz w:val="20"/>
          <w:szCs w:val="20"/>
        </w:rPr>
        <w:t>Une formation à l’encodage peut également être organisée à la demande afin de permettre au personnel des CTA de se familiariser avec l’outil.</w:t>
      </w:r>
    </w:p>
    <w:p>
      <w:pPr>
        <w:spacing w:after="240"/>
        <w:jc w:val="both"/>
        <w:rPr>
          <w:rFonts w:ascii="Calibri" w:hAnsi="Calibri" w:cs="Calibri"/>
          <w:sz w:val="20"/>
          <w:szCs w:val="20"/>
        </w:rPr>
      </w:pPr>
      <w:r>
        <w:rPr>
          <w:rFonts w:ascii="Calibri" w:hAnsi="Calibri" w:cs="Calibri"/>
          <w:sz w:val="20"/>
          <w:szCs w:val="20"/>
        </w:rPr>
        <w:t>Enfin, le service CTA est à la disposition des centres concernant toute question relative à l’utilisation de cet outil d’encodage.</w:t>
      </w:r>
    </w:p>
    <w:p>
      <w:pPr>
        <w:numPr>
          <w:ilvl w:val="1"/>
          <w:numId w:val="54"/>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t>Ventilation des formations selon les types de publics</w:t>
      </w:r>
    </w:p>
    <w:p>
      <w:pPr>
        <w:spacing w:after="120"/>
        <w:jc w:val="both"/>
        <w:rPr>
          <w:rFonts w:ascii="Calibri" w:hAnsi="Calibri" w:cs="Calibri"/>
          <w:sz w:val="20"/>
          <w:szCs w:val="20"/>
        </w:rPr>
      </w:pPr>
      <w:r>
        <w:rPr>
          <w:rFonts w:ascii="Calibri" w:hAnsi="Calibri" w:cs="Calibri"/>
          <w:sz w:val="20"/>
          <w:szCs w:val="20"/>
        </w:rPr>
        <w:t>Les CTA doivent être ouverts un minimum de 104 jours par an. Ils réservent, si les demandes sont suffisantes :</w:t>
      </w:r>
    </w:p>
    <w:p>
      <w:pPr>
        <w:numPr>
          <w:ilvl w:val="0"/>
          <w:numId w:val="38"/>
        </w:numPr>
        <w:spacing w:after="120"/>
        <w:jc w:val="both"/>
        <w:rPr>
          <w:rFonts w:ascii="Calibri" w:hAnsi="Calibri" w:cs="Calibri"/>
          <w:sz w:val="20"/>
          <w:szCs w:val="20"/>
        </w:rPr>
      </w:pPr>
      <w:r>
        <w:rPr>
          <w:rFonts w:ascii="Calibri" w:hAnsi="Calibri" w:cs="Calibri"/>
          <w:sz w:val="20"/>
          <w:szCs w:val="20"/>
        </w:rPr>
        <w:t>au moins 75 % de leur capacité d’accueil aux élèves et enseignants de l’enseignement obligatoire</w:t>
      </w:r>
    </w:p>
    <w:p>
      <w:pPr>
        <w:numPr>
          <w:ilvl w:val="0"/>
          <w:numId w:val="38"/>
        </w:numPr>
        <w:spacing w:after="120"/>
        <w:jc w:val="both"/>
        <w:rPr>
          <w:rFonts w:ascii="Calibri" w:hAnsi="Calibri" w:cs="Calibri"/>
          <w:sz w:val="20"/>
          <w:szCs w:val="20"/>
        </w:rPr>
      </w:pPr>
      <w:r>
        <w:rPr>
          <w:rFonts w:ascii="Calibri" w:hAnsi="Calibri" w:cs="Calibri"/>
          <w:sz w:val="20"/>
          <w:szCs w:val="20"/>
        </w:rPr>
        <w:t>10 % de leur capacité d’accueil aux étudiants et enseignants des enseignements de promotion sociale et supérieur, aux apprenants et formateurs de l’IFAPME, de l’AWIPH et de l’EFPME et aux travailleurs</w:t>
      </w:r>
    </w:p>
    <w:p>
      <w:pPr>
        <w:numPr>
          <w:ilvl w:val="0"/>
          <w:numId w:val="38"/>
        </w:numPr>
        <w:spacing w:after="120"/>
        <w:jc w:val="both"/>
        <w:rPr>
          <w:rFonts w:ascii="Calibri" w:hAnsi="Calibri" w:cs="Calibri"/>
          <w:sz w:val="20"/>
          <w:szCs w:val="20"/>
        </w:rPr>
      </w:pPr>
      <w:r>
        <w:rPr>
          <w:rFonts w:ascii="Calibri" w:hAnsi="Calibri" w:cs="Calibri"/>
          <w:sz w:val="20"/>
          <w:szCs w:val="20"/>
        </w:rPr>
        <w:t>15 % de leur capacité d’accueil aux demandeurs d’emploi</w:t>
      </w:r>
    </w:p>
    <w:p>
      <w:pPr>
        <w:spacing w:after="120"/>
        <w:jc w:val="both"/>
        <w:rPr>
          <w:rFonts w:ascii="Calibri" w:hAnsi="Calibri" w:cs="Calibri"/>
          <w:sz w:val="20"/>
          <w:szCs w:val="20"/>
        </w:rPr>
      </w:pPr>
      <w:r>
        <w:rPr>
          <w:rFonts w:ascii="Calibri" w:hAnsi="Calibri" w:cs="Calibri"/>
          <w:sz w:val="20"/>
          <w:szCs w:val="20"/>
        </w:rPr>
        <w:t>Les centres adaptent l’organisation des formations en rentabilisant au maximum les plages horaires afin d’y intégrer l’offre de formation à destination des utilisateurs extérieurs et notamment des chercheurs d’emploi et des travailleurs.</w:t>
      </w:r>
    </w:p>
    <w:p>
      <w:pPr>
        <w:spacing w:after="120"/>
        <w:jc w:val="both"/>
        <w:rPr>
          <w:rFonts w:ascii="Calibri" w:hAnsi="Calibri" w:cs="Calibri"/>
          <w:sz w:val="20"/>
          <w:szCs w:val="20"/>
        </w:rPr>
      </w:pPr>
      <w:r>
        <w:rPr>
          <w:rFonts w:ascii="Calibri" w:hAnsi="Calibri" w:cs="Calibri"/>
          <w:sz w:val="20"/>
          <w:szCs w:val="20"/>
        </w:rPr>
        <w:t xml:space="preserve">Les CTA peuvent consacrer un jour par semaine à l’accueil des élèves de l’établissement scolaire hébergeant le CTA. Ils sont subventionnés pour ces formations à concurrence de </w:t>
      </w:r>
      <w:r>
        <w:rPr>
          <w:rFonts w:ascii="Calibri" w:hAnsi="Calibri" w:cs="Calibri"/>
          <w:b/>
          <w:sz w:val="20"/>
          <w:szCs w:val="20"/>
          <w:u w:val="single"/>
        </w:rPr>
        <w:t>maximum 26 jours par an</w:t>
      </w:r>
      <w:r>
        <w:rPr>
          <w:rFonts w:ascii="Calibri" w:hAnsi="Calibri" w:cs="Calibri"/>
          <w:sz w:val="20"/>
          <w:szCs w:val="20"/>
        </w:rPr>
        <w:t>. Les formations excédentaires ne seront pas prises en considération pour le décompte annuel de la consommation de la subvention effectué par l’administration.</w:t>
      </w:r>
    </w:p>
    <w:p>
      <w:pPr>
        <w:rPr>
          <w:rFonts w:ascii="Calibri" w:hAnsi="Calibri" w:cs="Calibri"/>
          <w:b/>
          <w:smallCaps/>
          <w:sz w:val="32"/>
          <w:szCs w:val="32"/>
        </w:rPr>
      </w:pPr>
      <w:r>
        <w:rPr>
          <w:rFonts w:ascii="Calibri" w:hAnsi="Calibri" w:cs="Calibri"/>
          <w:b/>
          <w:smallCaps/>
          <w:sz w:val="32"/>
          <w:szCs w:val="32"/>
        </w:rPr>
        <w:br w:type="page"/>
      </w:r>
    </w:p>
    <w:p>
      <w:pPr>
        <w:numPr>
          <w:ilvl w:val="1"/>
          <w:numId w:val="54"/>
        </w:numPr>
        <w:tabs>
          <w:tab w:val="left" w:pos="567"/>
        </w:tabs>
        <w:spacing w:after="240"/>
        <w:ind w:left="567" w:hanging="567"/>
        <w:jc w:val="both"/>
        <w:rPr>
          <w:rFonts w:ascii="Calibri" w:hAnsi="Calibri" w:cs="Calibri"/>
          <w:b/>
          <w:smallCaps/>
          <w:sz w:val="32"/>
          <w:szCs w:val="32"/>
        </w:rPr>
      </w:pPr>
      <w:r>
        <w:rPr>
          <w:rFonts w:ascii="Calibri" w:hAnsi="Calibri" w:cs="Calibri"/>
          <w:b/>
          <w:smallCaps/>
          <w:sz w:val="32"/>
          <w:szCs w:val="32"/>
        </w:rPr>
        <w:lastRenderedPageBreak/>
        <w:t>Remboursement des frais de déplacement et d’hébergement</w:t>
      </w:r>
    </w:p>
    <w:p>
      <w:pPr>
        <w:spacing w:after="120"/>
        <w:jc w:val="both"/>
        <w:rPr>
          <w:rFonts w:ascii="Calibri" w:hAnsi="Calibri" w:cs="Calibri"/>
          <w:sz w:val="20"/>
          <w:szCs w:val="20"/>
        </w:rPr>
      </w:pPr>
      <w:r>
        <w:rPr>
          <w:rFonts w:ascii="Calibri" w:hAnsi="Calibri" w:cs="Calibri"/>
          <w:sz w:val="20"/>
          <w:szCs w:val="20"/>
        </w:rPr>
        <w:t>Dans le cadre des formations organisées en CTA, les frais de déplacement et d’hébergement des participants sont pris en charge, tout au moins en partie, par la Fédération Wallonie-Bruxelles.</w:t>
      </w:r>
    </w:p>
    <w:p>
      <w:pPr>
        <w:numPr>
          <w:ilvl w:val="2"/>
          <w:numId w:val="54"/>
        </w:numPr>
        <w:tabs>
          <w:tab w:val="left" w:pos="567"/>
        </w:tabs>
        <w:spacing w:before="240" w:after="240"/>
        <w:ind w:left="567" w:hanging="567"/>
        <w:jc w:val="both"/>
        <w:rPr>
          <w:rFonts w:ascii="Calibri" w:hAnsi="Calibri" w:cs="Calibri"/>
          <w:b/>
          <w:sz w:val="28"/>
          <w:szCs w:val="28"/>
        </w:rPr>
      </w:pPr>
      <w:r>
        <w:rPr>
          <w:rFonts w:ascii="Calibri" w:hAnsi="Calibri" w:cs="Calibri"/>
          <w:b/>
          <w:sz w:val="28"/>
          <w:szCs w:val="28"/>
        </w:rPr>
        <w:t>Publics éligibles</w:t>
      </w:r>
    </w:p>
    <w:p>
      <w:pPr>
        <w:spacing w:after="120"/>
        <w:jc w:val="both"/>
        <w:rPr>
          <w:rFonts w:ascii="Calibri" w:hAnsi="Calibri" w:cs="Calibri"/>
          <w:sz w:val="20"/>
          <w:szCs w:val="20"/>
        </w:rPr>
      </w:pPr>
      <w:r>
        <w:rPr>
          <w:rFonts w:ascii="Calibri" w:hAnsi="Calibri" w:cs="Calibri"/>
          <w:sz w:val="20"/>
          <w:szCs w:val="20"/>
        </w:rPr>
        <w:t>Seuls les élèves et enseignants issus de l’enseignement obligatoire peuvent prétendre à l’introduction d’une demande de remboursement, à condition que ceux-ci soient issus :</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de la 4</w:t>
      </w:r>
      <w:r>
        <w:rPr>
          <w:rFonts w:ascii="Calibri" w:hAnsi="Calibri" w:cs="Calibri"/>
          <w:sz w:val="20"/>
          <w:szCs w:val="20"/>
          <w:vertAlign w:val="superscript"/>
        </w:rPr>
        <w:t>e</w:t>
      </w:r>
      <w:r>
        <w:rPr>
          <w:rFonts w:ascii="Calibri" w:hAnsi="Calibri" w:cs="Calibri"/>
          <w:sz w:val="20"/>
          <w:szCs w:val="20"/>
        </w:rPr>
        <w:t xml:space="preserve"> année de l’enseignement secondaire ordinaire et spécialisé de forme 4 organisée dans le régime de la CPU (</w:t>
      </w:r>
      <w:r>
        <w:rPr>
          <w:rFonts w:ascii="Calibri" w:hAnsi="Calibri" w:cs="Calibri"/>
          <w:b/>
          <w:sz w:val="20"/>
          <w:szCs w:val="20"/>
          <w:u w:val="single"/>
        </w:rPr>
        <w:t>à partir du 1</w:t>
      </w:r>
      <w:r>
        <w:rPr>
          <w:rFonts w:ascii="Calibri" w:hAnsi="Calibri" w:cs="Calibri"/>
          <w:b/>
          <w:sz w:val="20"/>
          <w:szCs w:val="20"/>
          <w:u w:val="single"/>
          <w:vertAlign w:val="superscript"/>
        </w:rPr>
        <w:t>er</w:t>
      </w:r>
      <w:r>
        <w:rPr>
          <w:rFonts w:ascii="Calibri" w:hAnsi="Calibri" w:cs="Calibri"/>
          <w:b/>
          <w:sz w:val="20"/>
          <w:szCs w:val="20"/>
          <w:u w:val="single"/>
        </w:rPr>
        <w:t xml:space="preserve"> septembre 2018</w:t>
      </w:r>
      <w:r>
        <w:rPr>
          <w:rFonts w:ascii="Calibri" w:hAnsi="Calibri" w:cs="Calibri"/>
          <w:sz w:val="20"/>
          <w:szCs w:val="20"/>
        </w:rPr>
        <w:t>)</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des 3</w:t>
      </w:r>
      <w:r>
        <w:rPr>
          <w:rFonts w:ascii="Calibri" w:hAnsi="Calibri" w:cs="Calibri"/>
          <w:sz w:val="20"/>
          <w:szCs w:val="20"/>
          <w:vertAlign w:val="superscript"/>
        </w:rPr>
        <w:t>e</w:t>
      </w:r>
      <w:r>
        <w:rPr>
          <w:rFonts w:ascii="Calibri" w:hAnsi="Calibri" w:cs="Calibri"/>
          <w:sz w:val="20"/>
          <w:szCs w:val="20"/>
        </w:rPr>
        <w:t xml:space="preserve"> et 4</w:t>
      </w:r>
      <w:r>
        <w:rPr>
          <w:rFonts w:ascii="Calibri" w:hAnsi="Calibri" w:cs="Calibri"/>
          <w:sz w:val="20"/>
          <w:szCs w:val="20"/>
          <w:vertAlign w:val="superscript"/>
        </w:rPr>
        <w:t>e</w:t>
      </w:r>
      <w:r>
        <w:rPr>
          <w:rFonts w:ascii="Calibri" w:hAnsi="Calibri" w:cs="Calibri"/>
          <w:sz w:val="20"/>
          <w:szCs w:val="20"/>
        </w:rPr>
        <w:t xml:space="preserve"> degrés des options techniques de qualification et professionnelles de l’enseignement secondaire ordinaire de plein exercice et en alternance</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du 3</w:t>
      </w:r>
      <w:r>
        <w:rPr>
          <w:rFonts w:ascii="Calibri" w:hAnsi="Calibri" w:cs="Calibri"/>
          <w:sz w:val="20"/>
          <w:szCs w:val="20"/>
          <w:vertAlign w:val="superscript"/>
        </w:rPr>
        <w:t>e</w:t>
      </w:r>
      <w:r>
        <w:rPr>
          <w:rFonts w:ascii="Calibri" w:hAnsi="Calibri" w:cs="Calibri"/>
          <w:sz w:val="20"/>
          <w:szCs w:val="20"/>
        </w:rPr>
        <w:t xml:space="preserve"> degré des options techniques de qualification et professionnelles de l’enseignement secondaire spécialisé de forme 4 de plein exercice et en alternance</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de la 3</w:t>
      </w:r>
      <w:r>
        <w:rPr>
          <w:rFonts w:ascii="Calibri" w:hAnsi="Calibri" w:cs="Calibri"/>
          <w:sz w:val="20"/>
          <w:szCs w:val="20"/>
          <w:vertAlign w:val="superscript"/>
        </w:rPr>
        <w:t>e</w:t>
      </w:r>
      <w:r>
        <w:rPr>
          <w:rFonts w:ascii="Calibri" w:hAnsi="Calibri" w:cs="Calibri"/>
          <w:sz w:val="20"/>
          <w:szCs w:val="20"/>
        </w:rPr>
        <w:t xml:space="preserve"> phase de l’enseignement secondaire spécialisé de forme 3 de plein exercice et en alternance</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du 3</w:t>
      </w:r>
      <w:r>
        <w:rPr>
          <w:rFonts w:ascii="Calibri" w:hAnsi="Calibri" w:cs="Calibri"/>
          <w:sz w:val="20"/>
          <w:szCs w:val="20"/>
          <w:vertAlign w:val="superscript"/>
        </w:rPr>
        <w:t>e</w:t>
      </w:r>
      <w:r>
        <w:rPr>
          <w:rFonts w:ascii="Calibri" w:hAnsi="Calibri" w:cs="Calibri"/>
          <w:sz w:val="20"/>
          <w:szCs w:val="20"/>
        </w:rPr>
        <w:t xml:space="preserve"> degré de l’enseignement technique de la section de transition de l’enseignement secondaire ordinaire</w:t>
      </w:r>
    </w:p>
    <w:p>
      <w:pPr>
        <w:spacing w:after="120"/>
        <w:jc w:val="both"/>
        <w:rPr>
          <w:rFonts w:ascii="Calibri" w:hAnsi="Calibri" w:cs="Calibri"/>
          <w:sz w:val="20"/>
          <w:szCs w:val="20"/>
        </w:rPr>
      </w:pPr>
      <w:r>
        <w:rPr>
          <w:rFonts w:ascii="Calibri" w:hAnsi="Calibri" w:cs="Calibri"/>
          <w:sz w:val="20"/>
          <w:szCs w:val="20"/>
        </w:rPr>
        <w:t>Les frais de déplacements encourus par les autres publics ne sont pas pris en charge par la Fédération Wallonie-Bruxelles.</w:t>
      </w:r>
    </w:p>
    <w:p>
      <w:pPr>
        <w:numPr>
          <w:ilvl w:val="2"/>
          <w:numId w:val="54"/>
        </w:numPr>
        <w:tabs>
          <w:tab w:val="left" w:pos="567"/>
        </w:tabs>
        <w:spacing w:before="240" w:after="240"/>
        <w:ind w:left="567" w:hanging="567"/>
        <w:jc w:val="both"/>
        <w:rPr>
          <w:rFonts w:ascii="Calibri" w:hAnsi="Calibri" w:cs="Calibri"/>
          <w:b/>
          <w:sz w:val="28"/>
          <w:szCs w:val="28"/>
        </w:rPr>
      </w:pPr>
      <w:r>
        <w:rPr>
          <w:rFonts w:ascii="Calibri" w:hAnsi="Calibri" w:cs="Calibri"/>
          <w:b/>
          <w:sz w:val="28"/>
          <w:szCs w:val="28"/>
        </w:rPr>
        <w:t>Critères de remboursement</w:t>
      </w:r>
    </w:p>
    <w:p>
      <w:pPr>
        <w:spacing w:after="120"/>
        <w:jc w:val="both"/>
        <w:rPr>
          <w:rFonts w:ascii="Calibri" w:hAnsi="Calibri" w:cs="Calibri"/>
          <w:sz w:val="20"/>
          <w:szCs w:val="20"/>
        </w:rPr>
      </w:pPr>
      <w:r>
        <w:rPr>
          <w:rFonts w:ascii="Calibri" w:hAnsi="Calibri" w:cs="Calibri"/>
          <w:sz w:val="20"/>
          <w:szCs w:val="20"/>
        </w:rPr>
        <w:t>Afin d’assurer le traitement optimal des demandes de remboursement des frais de déplacement et d’hébergement, il convient de prendre en considération lors de l’introduction du dossier les critères suivants :</w:t>
      </w:r>
    </w:p>
    <w:p>
      <w:pPr>
        <w:numPr>
          <w:ilvl w:val="3"/>
          <w:numId w:val="54"/>
        </w:numPr>
        <w:tabs>
          <w:tab w:val="left" w:pos="851"/>
        </w:tabs>
        <w:spacing w:before="240" w:after="240"/>
        <w:ind w:left="851" w:hanging="851"/>
        <w:jc w:val="both"/>
        <w:rPr>
          <w:rFonts w:ascii="Calibri" w:hAnsi="Calibri" w:cs="Calibri"/>
          <w:i/>
          <w:u w:val="single"/>
        </w:rPr>
      </w:pPr>
      <w:r>
        <w:rPr>
          <w:rFonts w:ascii="Calibri" w:hAnsi="Calibri" w:cs="Calibri"/>
          <w:i/>
          <w:u w:val="single"/>
        </w:rPr>
        <w:t>Coûts liés aux frais de déplacement</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 xml:space="preserve">Les frais de déplacement sont remboursés par la Fédération Wallonie-Bruxelles sur base des frais réels. </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Ces frais seront pris en charge si un et un seul des cas de figure suivants est rencontré :</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des frais de transport en commun (lignes de Go Pass, tickets, etc.)</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des frais de location d'un car ou d’une voiture ou d’un minibus (dans ce cas, il est demandé de bien veiller au respect des règles d’application en matière de marchés publics)</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des frais liés à l'utilisation du car de l'école (au taux de 0,85 €/km sur base de la distance entre l'école et le CTA)</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des frais de voiture (au taux de 0,3241 €/km sur base de la distance la plus courte entre soit le domicile soit l’école et le CTA) si et seulement si :</w:t>
      </w:r>
    </w:p>
    <w:p>
      <w:pPr>
        <w:numPr>
          <w:ilvl w:val="1"/>
          <w:numId w:val="121"/>
        </w:numPr>
        <w:autoSpaceDE w:val="0"/>
        <w:autoSpaceDN w:val="0"/>
        <w:adjustRightInd w:val="0"/>
        <w:spacing w:after="120"/>
        <w:jc w:val="both"/>
        <w:rPr>
          <w:rFonts w:ascii="Calibri" w:hAnsi="Calibri" w:cs="Calibri"/>
          <w:sz w:val="20"/>
          <w:szCs w:val="20"/>
        </w:rPr>
      </w:pPr>
      <w:r>
        <w:rPr>
          <w:rFonts w:ascii="Calibri" w:hAnsi="Calibri" w:cs="Calibri"/>
          <w:sz w:val="20"/>
          <w:szCs w:val="20"/>
        </w:rPr>
        <w:t>l'enseignant prend sa voiture pour amener ses élèves en formation</w:t>
      </w:r>
    </w:p>
    <w:p>
      <w:pPr>
        <w:numPr>
          <w:ilvl w:val="1"/>
          <w:numId w:val="121"/>
        </w:numPr>
        <w:autoSpaceDE w:val="0"/>
        <w:autoSpaceDN w:val="0"/>
        <w:adjustRightInd w:val="0"/>
        <w:spacing w:after="120"/>
        <w:jc w:val="both"/>
        <w:rPr>
          <w:rFonts w:ascii="Calibri" w:hAnsi="Calibri" w:cs="Calibri"/>
          <w:sz w:val="20"/>
          <w:szCs w:val="20"/>
        </w:rPr>
      </w:pPr>
      <w:r>
        <w:rPr>
          <w:rFonts w:ascii="Calibri" w:hAnsi="Calibri" w:cs="Calibri"/>
          <w:sz w:val="20"/>
          <w:szCs w:val="20"/>
        </w:rPr>
        <w:t>l'enseignant se rend à une formation pour enseignants</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Si des solutions de transport en commun ou de covoiturage existent, celles-ci sont impérativement à privilégier. Dans le cas contraire, quel que soit le moyen de déplacement choisi, il convient de privilégier la solution la plus économique en fonction du nombre de participants et de la distance à parcourir.</w:t>
      </w:r>
    </w:p>
    <w:p>
      <w:pPr>
        <w:spacing w:after="120"/>
        <w:jc w:val="both"/>
        <w:rPr>
          <w:rFonts w:ascii="Calibri" w:hAnsi="Calibri" w:cs="Calibri"/>
          <w:sz w:val="20"/>
          <w:szCs w:val="20"/>
        </w:rPr>
      </w:pPr>
      <w:r>
        <w:rPr>
          <w:rFonts w:ascii="Calibri" w:hAnsi="Calibri" w:cs="Calibri"/>
          <w:sz w:val="20"/>
          <w:szCs w:val="20"/>
        </w:rPr>
        <w:t>Dans le cas où un déplacement nécessiterait l’utilisation de plusieurs moyens de transports simultanés, une autorisation préalable doit être délivrée par l’administration. Si celle-ci n’est pas jointe au dossier de demande de remboursement, il ne sera procédé qu’au remboursement du frais le moins élevé.</w:t>
      </w:r>
    </w:p>
    <w:p>
      <w:pPr>
        <w:rPr>
          <w:rFonts w:ascii="Calibri" w:hAnsi="Calibri" w:cs="Calibri"/>
          <w:b/>
          <w:sz w:val="20"/>
          <w:szCs w:val="20"/>
          <w:u w:val="single"/>
        </w:rPr>
      </w:pPr>
      <w:r>
        <w:rPr>
          <w:rFonts w:ascii="Calibri" w:hAnsi="Calibri" w:cs="Calibri"/>
          <w:b/>
          <w:sz w:val="20"/>
          <w:szCs w:val="20"/>
          <w:u w:val="single"/>
        </w:rPr>
        <w:br w:type="page"/>
      </w:r>
    </w:p>
    <w:p>
      <w:pPr>
        <w:autoSpaceDE w:val="0"/>
        <w:autoSpaceDN w:val="0"/>
        <w:adjustRightInd w:val="0"/>
        <w:spacing w:after="120"/>
        <w:jc w:val="both"/>
        <w:rPr>
          <w:rFonts w:ascii="Calibri" w:hAnsi="Calibri" w:cs="Calibri"/>
          <w:b/>
          <w:sz w:val="20"/>
          <w:szCs w:val="20"/>
          <w:u w:val="single"/>
        </w:rPr>
      </w:pPr>
      <w:r>
        <w:rPr>
          <w:rFonts w:ascii="Calibri" w:hAnsi="Calibri" w:cs="Calibri"/>
          <w:b/>
          <w:sz w:val="20"/>
          <w:szCs w:val="20"/>
          <w:u w:val="single"/>
        </w:rPr>
        <w:lastRenderedPageBreak/>
        <w:t>Attention</w:t>
      </w:r>
      <w:r>
        <w:rPr>
          <w:rFonts w:ascii="Calibri" w:hAnsi="Calibri" w:cs="Calibri"/>
          <w:b/>
          <w:sz w:val="20"/>
          <w:szCs w:val="20"/>
        </w:rPr>
        <w:t xml:space="preserve"> : </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Lors d’une formation organisée à destination des enseignants :</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seule la distance la plus courte (soit entre l’école d’origine de l’enseignant et le CTA, soit entre son domicile et le CTA) sera remboursée dans le cadre d’une demande de remboursement pour un déplacement en voiture (site référence pour le calcul : viamichelin.be),</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il convient d’encourager les enseignants d’un même établissement à pratiquer le covoiturage,</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dans le cas de formations organisées par l’un des trois opérateurs de formation continue (IFC – FCC – FORCAR), les demandes de remboursement de frais de déplacement ne sont pas prises en charge par la Fédération Wallonie-Bruxelles et doivent être introduites auprès de ces organismes.</w:t>
      </w:r>
    </w:p>
    <w:p>
      <w:pPr>
        <w:numPr>
          <w:ilvl w:val="3"/>
          <w:numId w:val="54"/>
        </w:numPr>
        <w:tabs>
          <w:tab w:val="left" w:pos="851"/>
        </w:tabs>
        <w:spacing w:before="240" w:after="240"/>
        <w:ind w:left="851" w:hanging="851"/>
        <w:jc w:val="both"/>
        <w:rPr>
          <w:rFonts w:ascii="Calibri" w:hAnsi="Calibri" w:cs="Calibri"/>
          <w:i/>
          <w:u w:val="single"/>
        </w:rPr>
      </w:pPr>
      <w:r>
        <w:rPr>
          <w:rFonts w:ascii="Calibri" w:hAnsi="Calibri" w:cs="Calibri"/>
          <w:i/>
          <w:u w:val="single"/>
        </w:rPr>
        <w:t>Coûts liés aux frais d'hébergement</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Les frais d'hébergement seront remboursés par la Fédération Wallonie-Bruxelles à concurrence de 25 € maximum par personne et par nuit si et seulement si :</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la formation a une durée d'au moins deux jours consécutifs,</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la distance à parcourir entre l'établissement scolaire et le CTA est supérieure ou égale à 100 km par trajet simple.</w:t>
      </w:r>
    </w:p>
    <w:p>
      <w:pPr>
        <w:autoSpaceDE w:val="0"/>
        <w:autoSpaceDN w:val="0"/>
        <w:adjustRightInd w:val="0"/>
        <w:spacing w:after="120"/>
        <w:ind w:left="709"/>
        <w:jc w:val="both"/>
        <w:rPr>
          <w:rFonts w:ascii="Calibri" w:hAnsi="Calibri" w:cs="Calibri"/>
          <w:sz w:val="20"/>
          <w:szCs w:val="20"/>
        </w:rPr>
      </w:pPr>
      <w:r>
        <w:rPr>
          <w:rFonts w:ascii="Calibri" w:hAnsi="Calibri" w:cs="Calibri"/>
          <w:b/>
          <w:sz w:val="20"/>
          <w:szCs w:val="20"/>
        </w:rPr>
        <w:t>Remarque</w:t>
      </w:r>
      <w:r>
        <w:rPr>
          <w:rFonts w:ascii="Calibri" w:hAnsi="Calibri" w:cs="Calibri"/>
          <w:sz w:val="20"/>
          <w:szCs w:val="20"/>
        </w:rPr>
        <w:t> : Les demandes de prise en charge des frais d’hébergement pour des déplacements situés entre 70 et 100 km par trajet simple pourront cependant être prises en considération sur présentation d’un dossier et pour autant que celui-ci démontre qu’il serait moins onéreux de loger à proximité du CTA plutôt que d’effectuer des trajets répétés.</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Attention, la Fédération Wallonie-Bruxelles ne prend pas en charge les frais liés aux repas.</w:t>
      </w:r>
    </w:p>
    <w:p>
      <w:pPr>
        <w:numPr>
          <w:ilvl w:val="3"/>
          <w:numId w:val="54"/>
        </w:numPr>
        <w:tabs>
          <w:tab w:val="left" w:pos="851"/>
        </w:tabs>
        <w:spacing w:before="240" w:after="240"/>
        <w:ind w:left="851" w:hanging="851"/>
        <w:jc w:val="both"/>
        <w:rPr>
          <w:rFonts w:ascii="Calibri" w:hAnsi="Calibri" w:cs="Calibri"/>
          <w:i/>
          <w:u w:val="single"/>
        </w:rPr>
      </w:pPr>
      <w:r>
        <w:rPr>
          <w:rFonts w:ascii="Calibri" w:hAnsi="Calibri" w:cs="Calibri"/>
          <w:i/>
          <w:u w:val="single"/>
        </w:rPr>
        <w:t>Précisions</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L’administration ne rembourse pas les frais de déplacement suivants :</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Un enseignant venant en voiture alors que ses élèves font le trajet en car de l’école ou en transport en commun,</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Un élève utilisant son véhicule personnel,</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Un enseignant d’un établissement organisant un CTA en son sein et demandant un remboursement entre son domicile et ce CTA,</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Un abonnement aux transports en commun.</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Elle ne rembourse pas non plus d’éventuels frais de parking ou de nourriture.</w:t>
      </w:r>
    </w:p>
    <w:p>
      <w:pPr>
        <w:numPr>
          <w:ilvl w:val="2"/>
          <w:numId w:val="54"/>
        </w:numPr>
        <w:tabs>
          <w:tab w:val="left" w:pos="567"/>
        </w:tabs>
        <w:spacing w:before="240" w:after="240"/>
        <w:ind w:left="567" w:hanging="567"/>
        <w:jc w:val="both"/>
        <w:rPr>
          <w:rFonts w:ascii="Calibri" w:hAnsi="Calibri" w:cs="Calibri"/>
          <w:b/>
          <w:sz w:val="28"/>
          <w:szCs w:val="28"/>
        </w:rPr>
      </w:pPr>
      <w:r>
        <w:rPr>
          <w:rFonts w:ascii="Calibri" w:hAnsi="Calibri" w:cs="Calibri"/>
          <w:b/>
          <w:sz w:val="28"/>
          <w:szCs w:val="28"/>
        </w:rPr>
        <w:t>Procédure de remboursement</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L’administration se réserve le droit de solliciter toute information complémentaire nécessaire au traitement de la demande de remboursement. Tout dossier incomplet sera classé sans suite.</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Toute demande particulière sera analysée au cas par cas.</w:t>
      </w:r>
    </w:p>
    <w:p>
      <w:pPr>
        <w:numPr>
          <w:ilvl w:val="3"/>
          <w:numId w:val="54"/>
        </w:numPr>
        <w:tabs>
          <w:tab w:val="left" w:pos="851"/>
        </w:tabs>
        <w:spacing w:before="240" w:after="240"/>
        <w:ind w:left="851" w:hanging="851"/>
        <w:jc w:val="both"/>
        <w:rPr>
          <w:rFonts w:ascii="Calibri" w:hAnsi="Calibri" w:cs="Calibri"/>
          <w:i/>
          <w:u w:val="single"/>
        </w:rPr>
      </w:pPr>
      <w:r>
        <w:rPr>
          <w:rFonts w:ascii="Calibri" w:hAnsi="Calibri" w:cs="Calibri"/>
          <w:i/>
          <w:u w:val="single"/>
        </w:rPr>
        <w:t>Composition d’un dossier de demande de remboursement</w:t>
      </w:r>
    </w:p>
    <w:p>
      <w:pPr>
        <w:spacing w:after="120"/>
        <w:jc w:val="both"/>
        <w:rPr>
          <w:rFonts w:ascii="Calibri" w:hAnsi="Calibri" w:cs="Calibri"/>
          <w:sz w:val="20"/>
          <w:szCs w:val="20"/>
        </w:rPr>
      </w:pPr>
      <w:r>
        <w:rPr>
          <w:rFonts w:ascii="Calibri" w:hAnsi="Calibri" w:cs="Calibri"/>
          <w:sz w:val="20"/>
          <w:szCs w:val="20"/>
        </w:rPr>
        <w:t>Le dossier de demande de remboursement comporte le ou les documents suivants en fonction du cas de figure :</w:t>
      </w:r>
    </w:p>
    <w:p>
      <w:pPr>
        <w:numPr>
          <w:ilvl w:val="0"/>
          <w:numId w:val="122"/>
        </w:numPr>
        <w:spacing w:after="120"/>
        <w:jc w:val="both"/>
        <w:rPr>
          <w:rFonts w:ascii="Calibri" w:hAnsi="Calibri" w:cs="Calibri"/>
          <w:sz w:val="20"/>
          <w:szCs w:val="20"/>
        </w:rPr>
      </w:pPr>
      <w:r>
        <w:rPr>
          <w:rFonts w:ascii="Calibri" w:hAnsi="Calibri" w:cs="Calibri"/>
          <w:sz w:val="20"/>
          <w:szCs w:val="20"/>
        </w:rPr>
        <w:t xml:space="preserve">une </w:t>
      </w:r>
      <w:r>
        <w:rPr>
          <w:rFonts w:ascii="Calibri" w:hAnsi="Calibri" w:cs="Calibri"/>
          <w:b/>
          <w:sz w:val="20"/>
          <w:szCs w:val="20"/>
        </w:rPr>
        <w:t>déclaration sur l’honneur</w:t>
      </w:r>
      <w:r>
        <w:rPr>
          <w:rFonts w:ascii="Calibri" w:hAnsi="Calibri" w:cs="Calibri"/>
          <w:sz w:val="20"/>
          <w:szCs w:val="20"/>
        </w:rPr>
        <w:t xml:space="preserve"> pour le remboursement de </w:t>
      </w:r>
      <w:r>
        <w:rPr>
          <w:rFonts w:ascii="Calibri" w:hAnsi="Calibri" w:cs="Calibri"/>
          <w:b/>
          <w:sz w:val="20"/>
          <w:szCs w:val="20"/>
        </w:rPr>
        <w:t>frais de déplacement</w:t>
      </w:r>
      <w:r>
        <w:rPr>
          <w:rFonts w:ascii="Calibri" w:hAnsi="Calibri" w:cs="Calibri"/>
          <w:sz w:val="20"/>
          <w:szCs w:val="20"/>
        </w:rPr>
        <w:t xml:space="preserve"> occasionnés lors d’une formation en CTA – Déplacement en </w:t>
      </w:r>
      <w:r>
        <w:rPr>
          <w:rFonts w:ascii="Calibri" w:hAnsi="Calibri" w:cs="Calibri"/>
          <w:b/>
          <w:sz w:val="20"/>
          <w:szCs w:val="20"/>
        </w:rPr>
        <w:t xml:space="preserve">autocar de l’école </w:t>
      </w:r>
      <w:r>
        <w:rPr>
          <w:rFonts w:ascii="Calibri" w:hAnsi="Calibri" w:cs="Calibri"/>
          <w:sz w:val="20"/>
          <w:szCs w:val="20"/>
        </w:rPr>
        <w:t xml:space="preserve">(cf. </w:t>
      </w:r>
      <w:r>
        <w:rPr>
          <w:rFonts w:ascii="Calibri" w:hAnsi="Calibri" w:cs="Calibri"/>
          <w:b/>
          <w:sz w:val="20"/>
          <w:szCs w:val="20"/>
          <w:u w:val="single"/>
        </w:rPr>
        <w:t>annexe 7</w:t>
      </w:r>
      <w:r>
        <w:rPr>
          <w:rFonts w:ascii="Calibri" w:hAnsi="Calibri" w:cs="Calibri"/>
          <w:sz w:val="20"/>
          <w:szCs w:val="20"/>
        </w:rPr>
        <w:t>)</w:t>
      </w:r>
    </w:p>
    <w:p>
      <w:pPr>
        <w:spacing w:after="120"/>
        <w:ind w:left="720"/>
        <w:jc w:val="both"/>
        <w:rPr>
          <w:rFonts w:ascii="Calibri" w:hAnsi="Calibri" w:cs="Calibri"/>
          <w:sz w:val="20"/>
          <w:szCs w:val="20"/>
        </w:rPr>
      </w:pPr>
      <w:r>
        <w:rPr>
          <w:rFonts w:ascii="Calibri" w:hAnsi="Calibri" w:cs="Calibri"/>
          <w:sz w:val="20"/>
          <w:szCs w:val="20"/>
        </w:rPr>
        <w:t>Ce document est complété, signé et cacheté par le chef d’établissement ou l’économe.</w:t>
      </w:r>
    </w:p>
    <w:p>
      <w:pPr>
        <w:rPr>
          <w:rFonts w:ascii="Calibri" w:hAnsi="Calibri" w:cs="Calibri"/>
          <w:color w:val="FF0000"/>
          <w:sz w:val="20"/>
          <w:szCs w:val="20"/>
        </w:rPr>
      </w:pPr>
      <w:r>
        <w:rPr>
          <w:rFonts w:ascii="Calibri" w:hAnsi="Calibri" w:cs="Calibri"/>
          <w:color w:val="FF0000"/>
          <w:sz w:val="20"/>
          <w:szCs w:val="20"/>
        </w:rPr>
        <w:br w:type="page"/>
      </w:r>
    </w:p>
    <w:p>
      <w:pPr>
        <w:numPr>
          <w:ilvl w:val="0"/>
          <w:numId w:val="122"/>
        </w:numPr>
        <w:spacing w:after="120"/>
        <w:jc w:val="both"/>
        <w:rPr>
          <w:rFonts w:ascii="Calibri" w:hAnsi="Calibri" w:cs="Calibri"/>
          <w:sz w:val="20"/>
          <w:szCs w:val="20"/>
        </w:rPr>
      </w:pPr>
      <w:r>
        <w:rPr>
          <w:rFonts w:ascii="Calibri" w:hAnsi="Calibri" w:cs="Calibri"/>
          <w:sz w:val="20"/>
          <w:szCs w:val="20"/>
        </w:rPr>
        <w:lastRenderedPageBreak/>
        <w:t xml:space="preserve">une </w:t>
      </w:r>
      <w:r>
        <w:rPr>
          <w:rFonts w:ascii="Calibri" w:hAnsi="Calibri" w:cs="Calibri"/>
          <w:b/>
          <w:sz w:val="20"/>
          <w:szCs w:val="20"/>
        </w:rPr>
        <w:t>déclaration sur l’honneur</w:t>
      </w:r>
      <w:r>
        <w:rPr>
          <w:rFonts w:ascii="Calibri" w:hAnsi="Calibri" w:cs="Calibri"/>
          <w:sz w:val="20"/>
          <w:szCs w:val="20"/>
        </w:rPr>
        <w:t xml:space="preserve"> pour le remboursement de</w:t>
      </w:r>
      <w:r>
        <w:rPr>
          <w:rFonts w:ascii="Calibri" w:hAnsi="Calibri" w:cs="Calibri"/>
          <w:b/>
          <w:sz w:val="20"/>
          <w:szCs w:val="20"/>
        </w:rPr>
        <w:t xml:space="preserve"> frais de déplacement</w:t>
      </w:r>
      <w:r>
        <w:rPr>
          <w:rFonts w:ascii="Calibri" w:hAnsi="Calibri" w:cs="Calibri"/>
          <w:sz w:val="20"/>
          <w:szCs w:val="20"/>
        </w:rPr>
        <w:t xml:space="preserve"> occasionnés lors d’une formation en CTA – Déplacement en </w:t>
      </w:r>
      <w:r>
        <w:rPr>
          <w:rFonts w:ascii="Calibri" w:hAnsi="Calibri" w:cs="Calibri"/>
          <w:b/>
          <w:sz w:val="20"/>
          <w:szCs w:val="20"/>
        </w:rPr>
        <w:t xml:space="preserve">voiture </w:t>
      </w:r>
      <w:r>
        <w:rPr>
          <w:rFonts w:ascii="Calibri" w:hAnsi="Calibri" w:cs="Calibri"/>
          <w:sz w:val="20"/>
          <w:szCs w:val="20"/>
        </w:rPr>
        <w:t xml:space="preserve">(cf. </w:t>
      </w:r>
      <w:r>
        <w:rPr>
          <w:rFonts w:ascii="Calibri" w:hAnsi="Calibri" w:cs="Calibri"/>
          <w:b/>
          <w:sz w:val="20"/>
          <w:szCs w:val="20"/>
          <w:u w:val="single"/>
        </w:rPr>
        <w:t>annexe 8</w:t>
      </w:r>
      <w:r>
        <w:rPr>
          <w:rFonts w:ascii="Calibri" w:hAnsi="Calibri" w:cs="Calibri"/>
          <w:sz w:val="20"/>
          <w:szCs w:val="20"/>
        </w:rPr>
        <w:t>)</w:t>
      </w:r>
    </w:p>
    <w:p>
      <w:pPr>
        <w:spacing w:after="120"/>
        <w:ind w:left="720"/>
        <w:jc w:val="both"/>
        <w:rPr>
          <w:rFonts w:ascii="Calibri" w:hAnsi="Calibri" w:cs="Calibri"/>
          <w:sz w:val="20"/>
          <w:szCs w:val="20"/>
        </w:rPr>
      </w:pPr>
      <w:r>
        <w:rPr>
          <w:rFonts w:ascii="Calibri" w:hAnsi="Calibri" w:cs="Calibri"/>
          <w:sz w:val="20"/>
          <w:szCs w:val="20"/>
        </w:rPr>
        <w:t>Ce document est complété, signé et cacheté par l’enseignant. Il doit être accompagné d’un relevé d’identité bancaire.</w:t>
      </w:r>
    </w:p>
    <w:p>
      <w:pPr>
        <w:numPr>
          <w:ilvl w:val="0"/>
          <w:numId w:val="122"/>
        </w:numPr>
        <w:spacing w:after="120"/>
        <w:jc w:val="both"/>
        <w:rPr>
          <w:rFonts w:ascii="Calibri" w:hAnsi="Calibri" w:cs="Calibri"/>
          <w:sz w:val="20"/>
          <w:szCs w:val="20"/>
        </w:rPr>
      </w:pPr>
      <w:r>
        <w:rPr>
          <w:rFonts w:ascii="Calibri" w:hAnsi="Calibri" w:cs="Calibri"/>
          <w:sz w:val="20"/>
          <w:szCs w:val="20"/>
        </w:rPr>
        <w:t xml:space="preserve">une </w:t>
      </w:r>
      <w:r>
        <w:rPr>
          <w:rFonts w:ascii="Calibri" w:hAnsi="Calibri" w:cs="Calibri"/>
          <w:b/>
          <w:sz w:val="20"/>
          <w:szCs w:val="20"/>
        </w:rPr>
        <w:t>déclaration de créance</w:t>
      </w:r>
      <w:r>
        <w:rPr>
          <w:rFonts w:ascii="Calibri" w:hAnsi="Calibri" w:cs="Calibri"/>
          <w:sz w:val="20"/>
          <w:szCs w:val="20"/>
        </w:rPr>
        <w:t xml:space="preserve"> pour le remboursement de </w:t>
      </w:r>
      <w:r>
        <w:rPr>
          <w:rFonts w:ascii="Calibri" w:hAnsi="Calibri" w:cs="Calibri"/>
          <w:b/>
          <w:sz w:val="20"/>
          <w:szCs w:val="20"/>
        </w:rPr>
        <w:t>frais de déplacement</w:t>
      </w:r>
      <w:r>
        <w:rPr>
          <w:rFonts w:ascii="Calibri" w:hAnsi="Calibri" w:cs="Calibri"/>
          <w:sz w:val="20"/>
          <w:szCs w:val="20"/>
        </w:rPr>
        <w:t xml:space="preserve"> occasionnés lors d’une formation en CTA – Location d’un </w:t>
      </w:r>
      <w:r>
        <w:rPr>
          <w:rFonts w:ascii="Calibri" w:hAnsi="Calibri" w:cs="Calibri"/>
          <w:b/>
          <w:sz w:val="20"/>
          <w:szCs w:val="20"/>
        </w:rPr>
        <w:t xml:space="preserve">véhicule </w:t>
      </w:r>
      <w:r>
        <w:rPr>
          <w:rFonts w:ascii="Calibri" w:hAnsi="Calibri" w:cs="Calibri"/>
          <w:sz w:val="20"/>
          <w:szCs w:val="20"/>
        </w:rPr>
        <w:t xml:space="preserve">(cf. </w:t>
      </w:r>
      <w:r>
        <w:rPr>
          <w:rFonts w:ascii="Calibri" w:hAnsi="Calibri" w:cs="Calibri"/>
          <w:b/>
          <w:sz w:val="20"/>
          <w:szCs w:val="20"/>
          <w:u w:val="single"/>
        </w:rPr>
        <w:t>annexe 9</w:t>
      </w:r>
      <w:r>
        <w:rPr>
          <w:rFonts w:ascii="Calibri" w:hAnsi="Calibri" w:cs="Calibri"/>
          <w:sz w:val="20"/>
          <w:szCs w:val="20"/>
        </w:rPr>
        <w:t>)</w:t>
      </w:r>
    </w:p>
    <w:p>
      <w:pPr>
        <w:spacing w:after="120"/>
        <w:ind w:left="720"/>
        <w:jc w:val="both"/>
        <w:rPr>
          <w:rFonts w:ascii="Calibri" w:hAnsi="Calibri" w:cs="Calibri"/>
          <w:sz w:val="20"/>
          <w:szCs w:val="20"/>
        </w:rPr>
      </w:pPr>
      <w:r>
        <w:rPr>
          <w:rFonts w:ascii="Calibri" w:hAnsi="Calibri" w:cs="Calibri"/>
          <w:sz w:val="20"/>
          <w:szCs w:val="20"/>
        </w:rPr>
        <w:t>Ce document est complété, signé et cacheté par le chef d’établissement ou l’économe. Il faut alors y joindre la facture (ou la copie certifiée conforme par le chef d’établissement ou l’économe) ainsi que la preuve de paiement.</w:t>
      </w:r>
    </w:p>
    <w:p>
      <w:pPr>
        <w:numPr>
          <w:ilvl w:val="0"/>
          <w:numId w:val="122"/>
        </w:numPr>
        <w:spacing w:after="120"/>
        <w:jc w:val="both"/>
        <w:rPr>
          <w:rFonts w:ascii="Calibri" w:hAnsi="Calibri" w:cs="Calibri"/>
          <w:sz w:val="20"/>
          <w:szCs w:val="20"/>
        </w:rPr>
      </w:pPr>
      <w:r>
        <w:rPr>
          <w:rFonts w:ascii="Calibri" w:hAnsi="Calibri" w:cs="Calibri"/>
          <w:sz w:val="20"/>
          <w:szCs w:val="20"/>
        </w:rPr>
        <w:t xml:space="preserve">une </w:t>
      </w:r>
      <w:r>
        <w:rPr>
          <w:rFonts w:ascii="Calibri" w:hAnsi="Calibri" w:cs="Calibri"/>
          <w:b/>
          <w:sz w:val="20"/>
          <w:szCs w:val="20"/>
        </w:rPr>
        <w:t>déclaration de créance</w:t>
      </w:r>
      <w:r>
        <w:rPr>
          <w:rFonts w:ascii="Calibri" w:hAnsi="Calibri" w:cs="Calibri"/>
          <w:sz w:val="20"/>
          <w:szCs w:val="20"/>
        </w:rPr>
        <w:t xml:space="preserve"> pour le remboursement de </w:t>
      </w:r>
      <w:r>
        <w:rPr>
          <w:rFonts w:ascii="Calibri" w:hAnsi="Calibri" w:cs="Calibri"/>
          <w:b/>
          <w:sz w:val="20"/>
          <w:szCs w:val="20"/>
        </w:rPr>
        <w:t>frais de déplacement</w:t>
      </w:r>
      <w:r>
        <w:rPr>
          <w:rFonts w:ascii="Calibri" w:hAnsi="Calibri" w:cs="Calibri"/>
          <w:sz w:val="20"/>
          <w:szCs w:val="20"/>
        </w:rPr>
        <w:t xml:space="preserve"> occasionnés lors d’une formation en CTA – Déplacement en </w:t>
      </w:r>
      <w:r>
        <w:rPr>
          <w:rFonts w:ascii="Calibri" w:hAnsi="Calibri" w:cs="Calibri"/>
          <w:b/>
          <w:sz w:val="20"/>
          <w:szCs w:val="20"/>
        </w:rPr>
        <w:t xml:space="preserve">transport en commun </w:t>
      </w:r>
      <w:r>
        <w:rPr>
          <w:rFonts w:ascii="Calibri" w:hAnsi="Calibri" w:cs="Calibri"/>
          <w:sz w:val="20"/>
          <w:szCs w:val="20"/>
        </w:rPr>
        <w:t xml:space="preserve">(pour un établissement scolaire) (cf. </w:t>
      </w:r>
      <w:r>
        <w:rPr>
          <w:rFonts w:ascii="Calibri" w:hAnsi="Calibri" w:cs="Calibri"/>
          <w:b/>
          <w:sz w:val="20"/>
          <w:szCs w:val="20"/>
          <w:u w:val="single"/>
        </w:rPr>
        <w:t>annexe 10</w:t>
      </w:r>
      <w:r>
        <w:rPr>
          <w:rFonts w:ascii="Calibri" w:hAnsi="Calibri" w:cs="Calibri"/>
          <w:sz w:val="20"/>
          <w:szCs w:val="20"/>
        </w:rPr>
        <w:t>)</w:t>
      </w:r>
    </w:p>
    <w:p>
      <w:pPr>
        <w:spacing w:after="120"/>
        <w:ind w:left="720"/>
        <w:jc w:val="both"/>
        <w:rPr>
          <w:rFonts w:ascii="Calibri" w:hAnsi="Calibri" w:cs="Calibri"/>
          <w:sz w:val="20"/>
          <w:szCs w:val="20"/>
        </w:rPr>
      </w:pPr>
      <w:r>
        <w:rPr>
          <w:rFonts w:ascii="Calibri" w:hAnsi="Calibri" w:cs="Calibri"/>
          <w:sz w:val="20"/>
          <w:szCs w:val="20"/>
        </w:rPr>
        <w:t>Ce document est complété, signé et cacheté par le chef d’établissement ou l’économe. Il faut alors y joindre les tickets de transport (ou la copie certifiée conforme par le chef d’établissement ou l’économe).</w:t>
      </w:r>
    </w:p>
    <w:p>
      <w:pPr>
        <w:numPr>
          <w:ilvl w:val="0"/>
          <w:numId w:val="122"/>
        </w:numPr>
        <w:spacing w:after="120"/>
        <w:jc w:val="both"/>
        <w:rPr>
          <w:rFonts w:ascii="Calibri" w:hAnsi="Calibri" w:cs="Calibri"/>
          <w:sz w:val="20"/>
          <w:szCs w:val="20"/>
        </w:rPr>
      </w:pPr>
      <w:r>
        <w:rPr>
          <w:rFonts w:ascii="Calibri" w:hAnsi="Calibri" w:cs="Calibri"/>
          <w:sz w:val="20"/>
          <w:szCs w:val="20"/>
        </w:rPr>
        <w:t xml:space="preserve">une </w:t>
      </w:r>
      <w:r>
        <w:rPr>
          <w:rFonts w:ascii="Calibri" w:hAnsi="Calibri" w:cs="Calibri"/>
          <w:b/>
          <w:sz w:val="20"/>
          <w:szCs w:val="20"/>
        </w:rPr>
        <w:t>déclaration de créance</w:t>
      </w:r>
      <w:r>
        <w:rPr>
          <w:rFonts w:ascii="Calibri" w:hAnsi="Calibri" w:cs="Calibri"/>
          <w:sz w:val="20"/>
          <w:szCs w:val="20"/>
        </w:rPr>
        <w:t xml:space="preserve"> pour le remboursement de </w:t>
      </w:r>
      <w:r>
        <w:rPr>
          <w:rFonts w:ascii="Calibri" w:hAnsi="Calibri" w:cs="Calibri"/>
          <w:b/>
          <w:sz w:val="20"/>
          <w:szCs w:val="20"/>
        </w:rPr>
        <w:t>frais de déplacement</w:t>
      </w:r>
      <w:r>
        <w:rPr>
          <w:rFonts w:ascii="Calibri" w:hAnsi="Calibri" w:cs="Calibri"/>
          <w:sz w:val="20"/>
          <w:szCs w:val="20"/>
        </w:rPr>
        <w:t xml:space="preserve"> occasionnés lors d’une formation en CTA – Déplacement en </w:t>
      </w:r>
      <w:r>
        <w:rPr>
          <w:rFonts w:ascii="Calibri" w:hAnsi="Calibri" w:cs="Calibri"/>
          <w:b/>
          <w:sz w:val="20"/>
          <w:szCs w:val="20"/>
        </w:rPr>
        <w:t xml:space="preserve">transport en commun </w:t>
      </w:r>
      <w:r>
        <w:rPr>
          <w:rFonts w:ascii="Calibri" w:hAnsi="Calibri" w:cs="Calibri"/>
          <w:sz w:val="20"/>
          <w:szCs w:val="20"/>
        </w:rPr>
        <w:t xml:space="preserve">(pour un enseignant) (cf. </w:t>
      </w:r>
      <w:r>
        <w:rPr>
          <w:rFonts w:ascii="Calibri" w:hAnsi="Calibri" w:cs="Calibri"/>
          <w:b/>
          <w:sz w:val="20"/>
          <w:szCs w:val="20"/>
          <w:u w:val="single"/>
        </w:rPr>
        <w:t>annexe 11</w:t>
      </w:r>
      <w:r>
        <w:rPr>
          <w:rFonts w:ascii="Calibri" w:hAnsi="Calibri" w:cs="Calibri"/>
          <w:sz w:val="20"/>
          <w:szCs w:val="20"/>
        </w:rPr>
        <w:t>)</w:t>
      </w:r>
    </w:p>
    <w:p>
      <w:pPr>
        <w:spacing w:after="120"/>
        <w:ind w:left="720"/>
        <w:jc w:val="both"/>
        <w:rPr>
          <w:rFonts w:ascii="Calibri" w:hAnsi="Calibri" w:cs="Calibri"/>
          <w:sz w:val="20"/>
          <w:szCs w:val="20"/>
        </w:rPr>
      </w:pPr>
      <w:r>
        <w:rPr>
          <w:rFonts w:ascii="Calibri" w:hAnsi="Calibri" w:cs="Calibri"/>
          <w:sz w:val="20"/>
          <w:szCs w:val="20"/>
        </w:rPr>
        <w:t>Ce document est complété, signé et cacheté par l’enseignant. Il faut alors y joindre les tickets de transport (ou la copie certifiée conforme par le chef d’établissement ou l’économe), ainsi qu’un relevé d’identité bancaire.</w:t>
      </w:r>
    </w:p>
    <w:p>
      <w:pPr>
        <w:numPr>
          <w:ilvl w:val="0"/>
          <w:numId w:val="122"/>
        </w:numPr>
        <w:spacing w:after="120"/>
        <w:jc w:val="both"/>
        <w:rPr>
          <w:rFonts w:ascii="Calibri" w:hAnsi="Calibri" w:cs="Calibri"/>
          <w:sz w:val="20"/>
          <w:szCs w:val="20"/>
        </w:rPr>
      </w:pPr>
      <w:r>
        <w:rPr>
          <w:rFonts w:ascii="Calibri" w:hAnsi="Calibri" w:cs="Calibri"/>
          <w:sz w:val="20"/>
          <w:szCs w:val="20"/>
        </w:rPr>
        <w:t xml:space="preserve">une </w:t>
      </w:r>
      <w:r>
        <w:rPr>
          <w:rFonts w:ascii="Calibri" w:hAnsi="Calibri" w:cs="Calibri"/>
          <w:b/>
          <w:sz w:val="20"/>
          <w:szCs w:val="20"/>
        </w:rPr>
        <w:t>déclaration de créance</w:t>
      </w:r>
      <w:r>
        <w:rPr>
          <w:rFonts w:ascii="Calibri" w:hAnsi="Calibri" w:cs="Calibri"/>
          <w:sz w:val="20"/>
          <w:szCs w:val="20"/>
        </w:rPr>
        <w:t xml:space="preserve"> pour le remboursement de </w:t>
      </w:r>
      <w:r>
        <w:rPr>
          <w:rFonts w:ascii="Calibri" w:hAnsi="Calibri" w:cs="Calibri"/>
          <w:b/>
          <w:sz w:val="20"/>
          <w:szCs w:val="20"/>
        </w:rPr>
        <w:t>frais d’hébergement</w:t>
      </w:r>
      <w:r>
        <w:rPr>
          <w:rFonts w:ascii="Calibri" w:hAnsi="Calibri" w:cs="Calibri"/>
          <w:sz w:val="20"/>
          <w:szCs w:val="20"/>
        </w:rPr>
        <w:t xml:space="preserve"> occasionnés lors d’une formation en CTA (cf. </w:t>
      </w:r>
      <w:r>
        <w:rPr>
          <w:rFonts w:ascii="Calibri" w:hAnsi="Calibri" w:cs="Calibri"/>
          <w:b/>
          <w:sz w:val="20"/>
          <w:szCs w:val="20"/>
          <w:u w:val="single"/>
        </w:rPr>
        <w:t>annexe 12</w:t>
      </w:r>
      <w:r>
        <w:rPr>
          <w:rFonts w:ascii="Calibri" w:hAnsi="Calibri" w:cs="Calibri"/>
          <w:sz w:val="20"/>
          <w:szCs w:val="20"/>
          <w:u w:val="single"/>
        </w:rPr>
        <w:t>)</w:t>
      </w:r>
    </w:p>
    <w:p>
      <w:pPr>
        <w:spacing w:after="120"/>
        <w:ind w:left="720"/>
        <w:jc w:val="both"/>
        <w:rPr>
          <w:rFonts w:ascii="Calibri" w:hAnsi="Calibri" w:cs="Calibri"/>
          <w:sz w:val="20"/>
          <w:szCs w:val="20"/>
        </w:rPr>
      </w:pPr>
      <w:r>
        <w:rPr>
          <w:rFonts w:ascii="Calibri" w:hAnsi="Calibri" w:cs="Calibri"/>
          <w:sz w:val="20"/>
          <w:szCs w:val="20"/>
        </w:rPr>
        <w:t>Ce document est complété, signé et cacheté par le chef d’établissement ou l’économe. Il faut alors y joindre la facture (ou la copie certifiée conforme par le chef d’établissement ou l’économe) ainsi que la preuve de paiement.</w:t>
      </w:r>
    </w:p>
    <w:p>
      <w:pPr>
        <w:spacing w:after="120"/>
        <w:jc w:val="both"/>
        <w:rPr>
          <w:rFonts w:ascii="Calibri" w:hAnsi="Calibri" w:cs="Calibri"/>
          <w:sz w:val="20"/>
          <w:szCs w:val="20"/>
        </w:rPr>
      </w:pPr>
      <w:r>
        <w:rPr>
          <w:rFonts w:ascii="Calibri" w:hAnsi="Calibri" w:cs="Calibri"/>
          <w:sz w:val="20"/>
          <w:szCs w:val="20"/>
        </w:rPr>
        <w:t xml:space="preserve">Toute demande de remboursement doit </w:t>
      </w:r>
      <w:r>
        <w:rPr>
          <w:rFonts w:ascii="Calibri" w:hAnsi="Calibri" w:cs="Calibri"/>
          <w:b/>
          <w:sz w:val="20"/>
          <w:szCs w:val="20"/>
          <w:u w:val="single"/>
        </w:rPr>
        <w:t>impérativement être contresignée par le coordonnateur du CTA</w:t>
      </w:r>
      <w:r>
        <w:rPr>
          <w:rFonts w:ascii="Calibri" w:hAnsi="Calibri" w:cs="Calibri"/>
          <w:sz w:val="20"/>
          <w:szCs w:val="20"/>
        </w:rPr>
        <w:t>.</w:t>
      </w:r>
    </w:p>
    <w:p>
      <w:pPr>
        <w:spacing w:after="120"/>
        <w:jc w:val="both"/>
        <w:rPr>
          <w:rFonts w:ascii="Calibri" w:hAnsi="Calibri" w:cs="Calibri"/>
          <w:sz w:val="20"/>
          <w:szCs w:val="20"/>
        </w:rPr>
      </w:pPr>
      <w:r>
        <w:rPr>
          <w:rFonts w:ascii="Calibri" w:hAnsi="Calibri" w:cs="Calibri"/>
          <w:sz w:val="20"/>
          <w:szCs w:val="20"/>
        </w:rPr>
        <w:t>Chaque type de demande de remboursement fait l’objet d’un document spécifique annexé au présent document.</w:t>
      </w:r>
    </w:p>
    <w:p>
      <w:pPr>
        <w:spacing w:after="120"/>
        <w:jc w:val="both"/>
        <w:rPr>
          <w:rFonts w:ascii="Calibri" w:hAnsi="Calibri" w:cs="Calibri"/>
          <w:b/>
          <w:sz w:val="20"/>
          <w:szCs w:val="20"/>
          <w:u w:val="single"/>
        </w:rPr>
      </w:pPr>
      <w:r>
        <w:rPr>
          <w:rFonts w:ascii="Calibri" w:hAnsi="Calibri" w:cs="Calibri"/>
          <w:b/>
          <w:sz w:val="20"/>
          <w:szCs w:val="20"/>
          <w:u w:val="single"/>
        </w:rPr>
        <w:t>Résumé :</w:t>
      </w:r>
    </w:p>
    <w:tbl>
      <w:tblPr>
        <w:tblStyle w:val="Grilledutableau"/>
        <w:tblW w:w="0" w:type="auto"/>
        <w:tblLook w:val="04A0" w:firstRow="1" w:lastRow="0" w:firstColumn="1" w:lastColumn="0" w:noHBand="0" w:noVBand="1"/>
      </w:tblPr>
      <w:tblGrid>
        <w:gridCol w:w="1621"/>
        <w:gridCol w:w="1341"/>
        <w:gridCol w:w="1372"/>
        <w:gridCol w:w="1507"/>
        <w:gridCol w:w="1260"/>
        <w:gridCol w:w="1102"/>
        <w:gridCol w:w="857"/>
      </w:tblGrid>
      <w:tr>
        <w:tc>
          <w:tcPr>
            <w:tcW w:w="1621"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Type de demande</w:t>
            </w:r>
          </w:p>
        </w:tc>
        <w:tc>
          <w:tcPr>
            <w:tcW w:w="1341"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Type de déclaration</w:t>
            </w:r>
          </w:p>
        </w:tc>
        <w:tc>
          <w:tcPr>
            <w:tcW w:w="1372"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Signataire</w:t>
            </w:r>
          </w:p>
        </w:tc>
        <w:tc>
          <w:tcPr>
            <w:tcW w:w="1507"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Pièce justificative (ticket, etc.)</w:t>
            </w:r>
          </w:p>
        </w:tc>
        <w:tc>
          <w:tcPr>
            <w:tcW w:w="1260"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Preuve de paiement</w:t>
            </w:r>
          </w:p>
        </w:tc>
        <w:tc>
          <w:tcPr>
            <w:tcW w:w="1102"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Preuve d’identité bancaire</w:t>
            </w:r>
          </w:p>
        </w:tc>
        <w:tc>
          <w:tcPr>
            <w:tcW w:w="857"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Modèle</w:t>
            </w:r>
          </w:p>
        </w:tc>
      </w:tr>
      <w:tr>
        <w:tc>
          <w:tcPr>
            <w:tcW w:w="1621"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Autocar école</w:t>
            </w:r>
          </w:p>
        </w:tc>
        <w:tc>
          <w:tcPr>
            <w:tcW w:w="1341"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Sur l’honneur</w:t>
            </w:r>
          </w:p>
        </w:tc>
        <w:tc>
          <w:tcPr>
            <w:tcW w:w="137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Direction ou économe</w:t>
            </w:r>
          </w:p>
        </w:tc>
        <w:tc>
          <w:tcPr>
            <w:tcW w:w="150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Non</w:t>
            </w:r>
          </w:p>
        </w:tc>
        <w:tc>
          <w:tcPr>
            <w:tcW w:w="1260"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Non</w:t>
            </w:r>
          </w:p>
        </w:tc>
        <w:tc>
          <w:tcPr>
            <w:tcW w:w="110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Non</w:t>
            </w:r>
          </w:p>
        </w:tc>
        <w:tc>
          <w:tcPr>
            <w:tcW w:w="85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Annexe 7</w:t>
            </w:r>
          </w:p>
        </w:tc>
      </w:tr>
      <w:tr>
        <w:tc>
          <w:tcPr>
            <w:tcW w:w="1621"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Véhicule personnel</w:t>
            </w:r>
          </w:p>
        </w:tc>
        <w:tc>
          <w:tcPr>
            <w:tcW w:w="1341"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Sur l’honneur</w:t>
            </w:r>
          </w:p>
        </w:tc>
        <w:tc>
          <w:tcPr>
            <w:tcW w:w="137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Enseignant</w:t>
            </w:r>
          </w:p>
        </w:tc>
        <w:tc>
          <w:tcPr>
            <w:tcW w:w="150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Non</w:t>
            </w:r>
          </w:p>
        </w:tc>
        <w:tc>
          <w:tcPr>
            <w:tcW w:w="1260"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Non</w:t>
            </w:r>
          </w:p>
        </w:tc>
        <w:tc>
          <w:tcPr>
            <w:tcW w:w="110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Oui</w:t>
            </w:r>
          </w:p>
        </w:tc>
        <w:tc>
          <w:tcPr>
            <w:tcW w:w="85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Annexe 8</w:t>
            </w:r>
          </w:p>
        </w:tc>
      </w:tr>
      <w:tr>
        <w:tc>
          <w:tcPr>
            <w:tcW w:w="1621"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Location véhicule</w:t>
            </w:r>
          </w:p>
        </w:tc>
        <w:tc>
          <w:tcPr>
            <w:tcW w:w="1341"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Créance</w:t>
            </w:r>
          </w:p>
        </w:tc>
        <w:tc>
          <w:tcPr>
            <w:tcW w:w="137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Direction ou économe</w:t>
            </w:r>
          </w:p>
        </w:tc>
        <w:tc>
          <w:tcPr>
            <w:tcW w:w="150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 xml:space="preserve">Oui </w:t>
            </w:r>
          </w:p>
          <w:p>
            <w:pPr>
              <w:jc w:val="center"/>
              <w:rPr>
                <w:rFonts w:asciiTheme="minorHAnsi" w:hAnsiTheme="minorHAnsi" w:cstheme="minorHAnsi"/>
                <w:sz w:val="20"/>
                <w:szCs w:val="20"/>
              </w:rPr>
            </w:pPr>
            <w:r>
              <w:rPr>
                <w:rFonts w:asciiTheme="minorHAnsi" w:hAnsiTheme="minorHAnsi" w:cstheme="minorHAnsi"/>
                <w:sz w:val="20"/>
                <w:szCs w:val="20"/>
              </w:rPr>
              <w:t>(facture)</w:t>
            </w:r>
          </w:p>
        </w:tc>
        <w:tc>
          <w:tcPr>
            <w:tcW w:w="1260"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Oui</w:t>
            </w:r>
          </w:p>
        </w:tc>
        <w:tc>
          <w:tcPr>
            <w:tcW w:w="110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Non</w:t>
            </w:r>
          </w:p>
        </w:tc>
        <w:tc>
          <w:tcPr>
            <w:tcW w:w="85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Annexe 9</w:t>
            </w:r>
          </w:p>
        </w:tc>
      </w:tr>
      <w:tr>
        <w:tc>
          <w:tcPr>
            <w:tcW w:w="1621"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Transports en commun (école)</w:t>
            </w:r>
          </w:p>
        </w:tc>
        <w:tc>
          <w:tcPr>
            <w:tcW w:w="1341"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Créance</w:t>
            </w:r>
          </w:p>
        </w:tc>
        <w:tc>
          <w:tcPr>
            <w:tcW w:w="137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Direction ou économe</w:t>
            </w:r>
          </w:p>
        </w:tc>
        <w:tc>
          <w:tcPr>
            <w:tcW w:w="150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Oui</w:t>
            </w:r>
          </w:p>
          <w:p>
            <w:pPr>
              <w:jc w:val="center"/>
              <w:rPr>
                <w:rFonts w:asciiTheme="minorHAnsi" w:hAnsiTheme="minorHAnsi" w:cstheme="minorHAnsi"/>
                <w:sz w:val="20"/>
                <w:szCs w:val="20"/>
              </w:rPr>
            </w:pPr>
            <w:r>
              <w:rPr>
                <w:rFonts w:asciiTheme="minorHAnsi" w:hAnsiTheme="minorHAnsi" w:cstheme="minorHAnsi"/>
                <w:sz w:val="20"/>
                <w:szCs w:val="20"/>
              </w:rPr>
              <w:t>(tickets de transport)</w:t>
            </w:r>
          </w:p>
        </w:tc>
        <w:tc>
          <w:tcPr>
            <w:tcW w:w="1260"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Oui</w:t>
            </w:r>
          </w:p>
        </w:tc>
        <w:tc>
          <w:tcPr>
            <w:tcW w:w="110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Non</w:t>
            </w:r>
          </w:p>
        </w:tc>
        <w:tc>
          <w:tcPr>
            <w:tcW w:w="85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Annexe 10</w:t>
            </w:r>
          </w:p>
        </w:tc>
      </w:tr>
      <w:tr>
        <w:tc>
          <w:tcPr>
            <w:tcW w:w="1621"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Transports en commun (enseignant)</w:t>
            </w:r>
          </w:p>
        </w:tc>
        <w:tc>
          <w:tcPr>
            <w:tcW w:w="1341"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Créance</w:t>
            </w:r>
          </w:p>
        </w:tc>
        <w:tc>
          <w:tcPr>
            <w:tcW w:w="137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Enseignant</w:t>
            </w:r>
          </w:p>
        </w:tc>
        <w:tc>
          <w:tcPr>
            <w:tcW w:w="150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Oui</w:t>
            </w:r>
          </w:p>
          <w:p>
            <w:pPr>
              <w:jc w:val="center"/>
              <w:rPr>
                <w:rFonts w:asciiTheme="minorHAnsi" w:hAnsiTheme="minorHAnsi" w:cstheme="minorHAnsi"/>
                <w:sz w:val="20"/>
                <w:szCs w:val="20"/>
              </w:rPr>
            </w:pPr>
            <w:r>
              <w:rPr>
                <w:rFonts w:asciiTheme="minorHAnsi" w:hAnsiTheme="minorHAnsi" w:cstheme="minorHAnsi"/>
                <w:sz w:val="20"/>
                <w:szCs w:val="20"/>
              </w:rPr>
              <w:t>(tickets de transport)</w:t>
            </w:r>
          </w:p>
        </w:tc>
        <w:tc>
          <w:tcPr>
            <w:tcW w:w="1260"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Oui</w:t>
            </w:r>
          </w:p>
        </w:tc>
        <w:tc>
          <w:tcPr>
            <w:tcW w:w="110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Oui</w:t>
            </w:r>
          </w:p>
        </w:tc>
        <w:tc>
          <w:tcPr>
            <w:tcW w:w="85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Annexe 11</w:t>
            </w:r>
          </w:p>
        </w:tc>
      </w:tr>
      <w:tr>
        <w:tc>
          <w:tcPr>
            <w:tcW w:w="1621" w:type="dxa"/>
            <w:shd w:val="clear" w:color="auto" w:fill="auto"/>
            <w:vAlign w:val="center"/>
          </w:tcPr>
          <w:p>
            <w:pPr>
              <w:jc w:val="center"/>
              <w:rPr>
                <w:rFonts w:asciiTheme="minorHAnsi" w:hAnsiTheme="minorHAnsi" w:cstheme="minorHAnsi"/>
                <w:b/>
                <w:sz w:val="20"/>
                <w:szCs w:val="20"/>
              </w:rPr>
            </w:pPr>
            <w:r>
              <w:rPr>
                <w:rFonts w:asciiTheme="minorHAnsi" w:hAnsiTheme="minorHAnsi" w:cstheme="minorHAnsi"/>
                <w:b/>
                <w:sz w:val="20"/>
                <w:szCs w:val="20"/>
              </w:rPr>
              <w:t>Hébergement</w:t>
            </w:r>
          </w:p>
        </w:tc>
        <w:tc>
          <w:tcPr>
            <w:tcW w:w="1341"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Créance</w:t>
            </w:r>
          </w:p>
        </w:tc>
        <w:tc>
          <w:tcPr>
            <w:tcW w:w="137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Direction ou économe</w:t>
            </w:r>
          </w:p>
        </w:tc>
        <w:tc>
          <w:tcPr>
            <w:tcW w:w="150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Oui</w:t>
            </w:r>
          </w:p>
          <w:p>
            <w:pPr>
              <w:jc w:val="center"/>
              <w:rPr>
                <w:rFonts w:asciiTheme="minorHAnsi" w:hAnsiTheme="minorHAnsi" w:cstheme="minorHAnsi"/>
                <w:sz w:val="20"/>
                <w:szCs w:val="20"/>
              </w:rPr>
            </w:pPr>
            <w:r>
              <w:rPr>
                <w:rFonts w:asciiTheme="minorHAnsi" w:hAnsiTheme="minorHAnsi" w:cstheme="minorHAnsi"/>
                <w:sz w:val="20"/>
                <w:szCs w:val="20"/>
              </w:rPr>
              <w:t>(facture)</w:t>
            </w:r>
          </w:p>
        </w:tc>
        <w:tc>
          <w:tcPr>
            <w:tcW w:w="1260"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Oui</w:t>
            </w:r>
          </w:p>
        </w:tc>
        <w:tc>
          <w:tcPr>
            <w:tcW w:w="1102"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Non</w:t>
            </w:r>
          </w:p>
        </w:tc>
        <w:tc>
          <w:tcPr>
            <w:tcW w:w="857" w:type="dxa"/>
            <w:shd w:val="clear" w:color="auto" w:fill="auto"/>
            <w:vAlign w:val="center"/>
          </w:tcPr>
          <w:p>
            <w:pPr>
              <w:jc w:val="center"/>
              <w:rPr>
                <w:rFonts w:asciiTheme="minorHAnsi" w:hAnsiTheme="minorHAnsi" w:cstheme="minorHAnsi"/>
                <w:sz w:val="20"/>
                <w:szCs w:val="20"/>
              </w:rPr>
            </w:pPr>
            <w:r>
              <w:rPr>
                <w:rFonts w:asciiTheme="minorHAnsi" w:hAnsiTheme="minorHAnsi" w:cstheme="minorHAnsi"/>
                <w:sz w:val="20"/>
                <w:szCs w:val="20"/>
              </w:rPr>
              <w:t>Annexe 12</w:t>
            </w:r>
          </w:p>
        </w:tc>
      </w:tr>
    </w:tbl>
    <w:p>
      <w:pPr>
        <w:spacing w:after="120"/>
        <w:jc w:val="both"/>
        <w:rPr>
          <w:rFonts w:ascii="Calibri" w:hAnsi="Calibri" w:cs="Calibri"/>
          <w:sz w:val="20"/>
          <w:szCs w:val="20"/>
        </w:rPr>
      </w:pPr>
    </w:p>
    <w:p>
      <w:pPr>
        <w:rPr>
          <w:rFonts w:ascii="Calibri" w:hAnsi="Calibri" w:cs="Calibri"/>
          <w:sz w:val="20"/>
          <w:szCs w:val="20"/>
        </w:rPr>
      </w:pPr>
      <w:r>
        <w:rPr>
          <w:rFonts w:ascii="Calibri" w:hAnsi="Calibri" w:cs="Calibri"/>
          <w:sz w:val="20"/>
          <w:szCs w:val="20"/>
        </w:rPr>
        <w:br w:type="page"/>
      </w:r>
    </w:p>
    <w:p>
      <w:pPr>
        <w:numPr>
          <w:ilvl w:val="3"/>
          <w:numId w:val="54"/>
        </w:numPr>
        <w:tabs>
          <w:tab w:val="left" w:pos="851"/>
        </w:tabs>
        <w:spacing w:before="240" w:after="240"/>
        <w:ind w:left="851" w:hanging="851"/>
        <w:jc w:val="both"/>
        <w:rPr>
          <w:rFonts w:ascii="Calibri" w:hAnsi="Calibri" w:cs="Calibri"/>
          <w:i/>
          <w:u w:val="single"/>
        </w:rPr>
      </w:pPr>
      <w:r>
        <w:rPr>
          <w:rFonts w:ascii="Calibri" w:hAnsi="Calibri" w:cs="Calibri"/>
          <w:i/>
          <w:u w:val="single"/>
        </w:rPr>
        <w:lastRenderedPageBreak/>
        <w:t>Informations devant obligatoirement se trouver sur les documents de demande de remboursement</w:t>
      </w:r>
    </w:p>
    <w:p>
      <w:pPr>
        <w:spacing w:after="120"/>
        <w:jc w:val="both"/>
        <w:rPr>
          <w:rFonts w:ascii="Calibri" w:hAnsi="Calibri" w:cs="Calibri"/>
          <w:sz w:val="20"/>
          <w:szCs w:val="20"/>
        </w:rPr>
      </w:pPr>
      <w:r>
        <w:rPr>
          <w:rFonts w:ascii="Calibri" w:hAnsi="Calibri" w:cs="Calibri"/>
          <w:sz w:val="20"/>
          <w:szCs w:val="20"/>
        </w:rPr>
        <w:t>Chaque dossier de demande de remboursement pour frais de déplacement et/ou d’hébergement doit comprendre obligatoirement toutes les informations demandées sur la déclaration de créance ou la déclaration sur l’honneur.</w:t>
      </w:r>
    </w:p>
    <w:p>
      <w:pPr>
        <w:spacing w:after="120"/>
        <w:jc w:val="both"/>
        <w:rPr>
          <w:rFonts w:ascii="Calibri" w:hAnsi="Calibri" w:cs="Calibri"/>
          <w:sz w:val="20"/>
          <w:szCs w:val="20"/>
        </w:rPr>
      </w:pPr>
      <w:r>
        <w:rPr>
          <w:rFonts w:ascii="Calibri" w:hAnsi="Calibri" w:cs="Calibri"/>
          <w:sz w:val="20"/>
          <w:szCs w:val="20"/>
        </w:rPr>
        <w:t>L’administration demandera, le cas échéant, un complément par courrier ou par voie électronique auprès du déclarant. Si aucune réponse ne lui parvient dans les 4 semaines suivant l’envoi de la demande, les frais ne seront pas remboursés.</w:t>
      </w:r>
    </w:p>
    <w:p>
      <w:pPr>
        <w:spacing w:after="120"/>
        <w:jc w:val="both"/>
        <w:rPr>
          <w:rFonts w:ascii="Calibri" w:hAnsi="Calibri" w:cs="Calibri"/>
          <w:sz w:val="20"/>
          <w:szCs w:val="20"/>
        </w:rPr>
      </w:pPr>
      <w:r>
        <w:rPr>
          <w:rFonts w:ascii="Calibri" w:hAnsi="Calibri" w:cs="Calibri"/>
          <w:sz w:val="20"/>
          <w:szCs w:val="20"/>
        </w:rPr>
        <w:t>Attention, toutes les déclarations doivent être datées de l’année au cours de laquelle la formation a été suivie et introduites au plus tard le 15 janvier de l’année suivante. Dans le cas contraire, elles ne pourront être prises en compte.</w:t>
      </w:r>
    </w:p>
    <w:p>
      <w:pPr>
        <w:numPr>
          <w:ilvl w:val="3"/>
          <w:numId w:val="54"/>
        </w:numPr>
        <w:tabs>
          <w:tab w:val="left" w:pos="851"/>
        </w:tabs>
        <w:spacing w:before="240" w:after="240"/>
        <w:ind w:left="851" w:hanging="851"/>
        <w:jc w:val="both"/>
        <w:rPr>
          <w:rFonts w:ascii="Calibri" w:hAnsi="Calibri" w:cs="Calibri"/>
          <w:i/>
          <w:u w:val="single"/>
        </w:rPr>
      </w:pPr>
      <w:r>
        <w:rPr>
          <w:rFonts w:ascii="Calibri" w:hAnsi="Calibri" w:cs="Calibri"/>
          <w:i/>
          <w:u w:val="single"/>
        </w:rPr>
        <w:t>Introduction des demandes</w:t>
      </w:r>
    </w:p>
    <w:p>
      <w:pPr>
        <w:spacing w:after="120"/>
        <w:jc w:val="both"/>
        <w:rPr>
          <w:rFonts w:ascii="Calibri" w:hAnsi="Calibri" w:cs="Calibri"/>
          <w:sz w:val="20"/>
          <w:szCs w:val="20"/>
        </w:rPr>
      </w:pPr>
      <w:r>
        <w:rPr>
          <w:rFonts w:ascii="Calibri" w:hAnsi="Calibri" w:cs="Calibri"/>
          <w:sz w:val="20"/>
          <w:szCs w:val="20"/>
        </w:rPr>
        <w:t>Les demandes de remboursement sont introduites directement par l’établissement ou l’enseignant. Il leur appartient de bien veiller à remplir correctement le document et à le faire contresigner par le coordonnateur du CTA.</w:t>
      </w:r>
    </w:p>
    <w:p>
      <w:pPr>
        <w:spacing w:after="120"/>
        <w:jc w:val="both"/>
        <w:rPr>
          <w:rFonts w:ascii="Calibri" w:hAnsi="Calibri" w:cs="Calibri"/>
          <w:sz w:val="20"/>
          <w:szCs w:val="20"/>
        </w:rPr>
      </w:pPr>
      <w:r>
        <w:rPr>
          <w:rFonts w:ascii="Calibri" w:hAnsi="Calibri" w:cs="Calibri"/>
          <w:sz w:val="20"/>
          <w:szCs w:val="20"/>
        </w:rPr>
        <w:t>Il convient d’introduire la demande de remboursement des frais auprès de l’administration dans le mois qui suit la fin de la formation et au plus tard pour le 15 janvier de l’année suivante, accompagnée des pièces justificatives. Cette demande doit obligatoirement être contresignée par le coordonnateur CTA.</w:t>
      </w:r>
    </w:p>
    <w:p>
      <w:pPr>
        <w:spacing w:after="120"/>
        <w:jc w:val="both"/>
        <w:rPr>
          <w:rFonts w:ascii="Calibri" w:hAnsi="Calibri" w:cs="Calibri"/>
          <w:sz w:val="20"/>
          <w:szCs w:val="20"/>
        </w:rPr>
      </w:pPr>
      <w:r>
        <w:rPr>
          <w:rFonts w:ascii="Calibri" w:hAnsi="Calibri" w:cs="Calibri"/>
          <w:sz w:val="20"/>
          <w:szCs w:val="20"/>
        </w:rPr>
        <w:t>Si celle-ci est introduite hors délais, les frais ne seront pas remboursés et le déclarant en sera averti par courrier.</w:t>
      </w:r>
    </w:p>
    <w:p>
      <w:pPr>
        <w:spacing w:after="120"/>
        <w:jc w:val="both"/>
        <w:rPr>
          <w:rFonts w:ascii="Calibri" w:hAnsi="Calibri" w:cs="Calibri"/>
          <w:sz w:val="20"/>
          <w:szCs w:val="20"/>
        </w:rPr>
      </w:pPr>
      <w:r>
        <w:rPr>
          <w:rFonts w:ascii="Calibri" w:hAnsi="Calibri" w:cs="Calibri"/>
          <w:sz w:val="20"/>
          <w:szCs w:val="20"/>
        </w:rPr>
        <w:t>Les dossiers complets doivent être envoyés à l’adresse suivante :</w:t>
      </w:r>
    </w:p>
    <w:p>
      <w:pPr>
        <w:jc w:val="center"/>
        <w:rPr>
          <w:rFonts w:asciiTheme="minorHAnsi" w:hAnsiTheme="minorHAnsi" w:cstheme="minorHAnsi"/>
          <w:sz w:val="20"/>
          <w:szCs w:val="20"/>
        </w:rPr>
      </w:pPr>
      <w:r>
        <w:rPr>
          <w:rFonts w:asciiTheme="minorHAnsi" w:hAnsiTheme="minorHAnsi" w:cstheme="minorHAnsi"/>
          <w:sz w:val="20"/>
          <w:szCs w:val="20"/>
        </w:rPr>
        <w:t>Fédération Wallonie-Bruxelles</w:t>
      </w:r>
    </w:p>
    <w:p>
      <w:pPr>
        <w:jc w:val="center"/>
        <w:rPr>
          <w:rFonts w:asciiTheme="minorHAnsi" w:hAnsiTheme="minorHAnsi" w:cstheme="minorHAnsi"/>
          <w:sz w:val="20"/>
          <w:szCs w:val="20"/>
        </w:rPr>
      </w:pPr>
      <w:r>
        <w:rPr>
          <w:rFonts w:asciiTheme="minorHAnsi" w:hAnsiTheme="minorHAnsi" w:cstheme="minorHAnsi"/>
          <w:sz w:val="20"/>
          <w:szCs w:val="20"/>
        </w:rPr>
        <w:t>Direction générale de l’Enseignement obligatoire</w:t>
      </w:r>
    </w:p>
    <w:p>
      <w:pPr>
        <w:jc w:val="center"/>
        <w:rPr>
          <w:rFonts w:asciiTheme="minorHAnsi" w:hAnsiTheme="minorHAnsi" w:cstheme="minorHAnsi"/>
          <w:sz w:val="20"/>
          <w:szCs w:val="20"/>
        </w:rPr>
      </w:pPr>
      <w:r>
        <w:rPr>
          <w:rFonts w:asciiTheme="minorHAnsi" w:hAnsiTheme="minorHAnsi" w:cstheme="minorHAnsi"/>
          <w:sz w:val="20"/>
          <w:szCs w:val="20"/>
        </w:rPr>
        <w:t>Direction « Relations Ecoles-Monde du Travail »</w:t>
      </w:r>
    </w:p>
    <w:p>
      <w:pPr>
        <w:jc w:val="center"/>
        <w:rPr>
          <w:rFonts w:asciiTheme="minorHAnsi" w:hAnsiTheme="minorHAnsi" w:cstheme="minorHAnsi"/>
          <w:sz w:val="20"/>
          <w:szCs w:val="20"/>
        </w:rPr>
      </w:pPr>
      <w:r>
        <w:rPr>
          <w:rFonts w:asciiTheme="minorHAnsi" w:hAnsiTheme="minorHAnsi" w:cstheme="minorHAnsi"/>
          <w:sz w:val="20"/>
          <w:szCs w:val="20"/>
        </w:rPr>
        <w:t xml:space="preserve">A l’attention de Madame Mélanie </w:t>
      </w:r>
      <w:r>
        <w:rPr>
          <w:rFonts w:asciiTheme="minorHAnsi" w:hAnsiTheme="minorHAnsi" w:cstheme="minorHAnsi"/>
          <w:caps/>
          <w:sz w:val="20"/>
          <w:szCs w:val="20"/>
        </w:rPr>
        <w:t>De Clerfayt</w:t>
      </w:r>
    </w:p>
    <w:p>
      <w:pPr>
        <w:jc w:val="center"/>
        <w:rPr>
          <w:rFonts w:asciiTheme="minorHAnsi" w:hAnsiTheme="minorHAnsi" w:cstheme="minorHAnsi"/>
          <w:sz w:val="20"/>
          <w:szCs w:val="20"/>
        </w:rPr>
      </w:pPr>
      <w:r>
        <w:rPr>
          <w:rFonts w:asciiTheme="minorHAnsi" w:hAnsiTheme="minorHAnsi" w:cstheme="minorHAnsi"/>
          <w:sz w:val="20"/>
          <w:szCs w:val="20"/>
        </w:rPr>
        <w:t>Bureau 1F130</w:t>
      </w:r>
    </w:p>
    <w:p>
      <w:pPr>
        <w:jc w:val="center"/>
        <w:rPr>
          <w:rFonts w:asciiTheme="minorHAnsi" w:hAnsiTheme="minorHAnsi" w:cstheme="minorHAnsi"/>
          <w:sz w:val="20"/>
          <w:szCs w:val="20"/>
        </w:rPr>
      </w:pPr>
      <w:r>
        <w:rPr>
          <w:rFonts w:asciiTheme="minorHAnsi" w:hAnsiTheme="minorHAnsi" w:cstheme="minorHAnsi"/>
          <w:sz w:val="20"/>
          <w:szCs w:val="20"/>
        </w:rPr>
        <w:t>Rue Adolphe Lavallée, 1 – 1080 Bruxelles</w:t>
      </w:r>
    </w:p>
    <w:p>
      <w:pPr>
        <w:numPr>
          <w:ilvl w:val="2"/>
          <w:numId w:val="54"/>
        </w:numPr>
        <w:tabs>
          <w:tab w:val="left" w:pos="567"/>
        </w:tabs>
        <w:spacing w:before="240" w:after="240"/>
        <w:ind w:left="567" w:hanging="567"/>
        <w:jc w:val="both"/>
        <w:rPr>
          <w:rFonts w:ascii="Calibri" w:hAnsi="Calibri" w:cs="Calibri"/>
          <w:b/>
          <w:sz w:val="28"/>
          <w:szCs w:val="28"/>
        </w:rPr>
      </w:pPr>
      <w:r>
        <w:rPr>
          <w:rFonts w:ascii="Calibri" w:hAnsi="Calibri" w:cs="Calibri"/>
          <w:b/>
          <w:sz w:val="28"/>
          <w:szCs w:val="28"/>
        </w:rPr>
        <w:t>Obligations du coordonnateur CTA</w:t>
      </w:r>
    </w:p>
    <w:p>
      <w:pPr>
        <w:jc w:val="both"/>
        <w:rPr>
          <w:rFonts w:asciiTheme="minorHAnsi" w:hAnsiTheme="minorHAnsi" w:cstheme="minorHAnsi"/>
          <w:sz w:val="22"/>
          <w:szCs w:val="22"/>
        </w:rPr>
      </w:pPr>
      <w:r>
        <w:rPr>
          <w:rFonts w:asciiTheme="minorHAnsi" w:hAnsiTheme="minorHAnsi" w:cstheme="minorHAnsi"/>
          <w:sz w:val="20"/>
          <w:szCs w:val="20"/>
        </w:rPr>
        <w:t xml:space="preserve">Le coordonnateur CTA est tenu de contresigner toute demande de remboursement de frais de déplacement et/ou d’hébergement. Il est également tenu de remettre à tout demandeur le </w:t>
      </w:r>
      <w:r>
        <w:rPr>
          <w:rFonts w:asciiTheme="minorHAnsi" w:hAnsiTheme="minorHAnsi" w:cstheme="minorHAnsi"/>
          <w:i/>
          <w:sz w:val="22"/>
          <w:szCs w:val="22"/>
        </w:rPr>
        <w:t>Vade-mecum relatif à la procédure de remboursement des frais de déplacement et d’hébergement des participants aux formations CTA</w:t>
      </w:r>
      <w:r>
        <w:rPr>
          <w:rFonts w:asciiTheme="minorHAnsi" w:hAnsiTheme="minorHAnsi" w:cstheme="minorHAnsi"/>
          <w:sz w:val="22"/>
          <w:szCs w:val="22"/>
        </w:rPr>
        <w:t xml:space="preserve"> se trouvant en </w:t>
      </w:r>
      <w:r>
        <w:rPr>
          <w:rFonts w:asciiTheme="minorHAnsi" w:hAnsiTheme="minorHAnsi" w:cstheme="minorHAnsi"/>
          <w:b/>
          <w:sz w:val="22"/>
          <w:szCs w:val="22"/>
          <w:u w:val="single"/>
        </w:rPr>
        <w:t>annexe 13</w:t>
      </w:r>
      <w:r>
        <w:rPr>
          <w:rFonts w:asciiTheme="minorHAnsi" w:hAnsiTheme="minorHAnsi" w:cstheme="minorHAnsi"/>
          <w:sz w:val="22"/>
          <w:szCs w:val="22"/>
        </w:rPr>
        <w:t xml:space="preserve"> du présent document.</w:t>
      </w:r>
    </w:p>
    <w:p>
      <w:pPr>
        <w:numPr>
          <w:ilvl w:val="1"/>
          <w:numId w:val="54"/>
        </w:numPr>
        <w:tabs>
          <w:tab w:val="left" w:pos="567"/>
        </w:tabs>
        <w:spacing w:before="240" w:after="240"/>
        <w:ind w:left="567" w:hanging="567"/>
        <w:jc w:val="both"/>
        <w:rPr>
          <w:rFonts w:ascii="Calibri" w:hAnsi="Calibri" w:cs="Calibri"/>
          <w:b/>
          <w:smallCaps/>
          <w:sz w:val="32"/>
          <w:szCs w:val="32"/>
        </w:rPr>
      </w:pPr>
      <w:r>
        <w:rPr>
          <w:rFonts w:ascii="Calibri" w:hAnsi="Calibri" w:cs="Calibri"/>
          <w:b/>
          <w:smallCaps/>
          <w:sz w:val="32"/>
          <w:szCs w:val="32"/>
        </w:rPr>
        <w:t>Formation des enseignants</w:t>
      </w:r>
    </w:p>
    <w:p>
      <w:pPr>
        <w:spacing w:after="120"/>
        <w:jc w:val="both"/>
        <w:rPr>
          <w:rFonts w:ascii="Calibri" w:hAnsi="Calibri" w:cs="Calibri"/>
          <w:sz w:val="20"/>
          <w:szCs w:val="20"/>
        </w:rPr>
      </w:pPr>
      <w:r>
        <w:rPr>
          <w:rFonts w:ascii="Calibri" w:hAnsi="Calibri" w:cs="Calibri"/>
          <w:sz w:val="20"/>
          <w:szCs w:val="20"/>
        </w:rPr>
        <w:t xml:space="preserve">La formation des enseignants de l’établissement accueillant le CTA et des autres établissements est évidemment une priorité. Il est en effet impossible d’utiliser tous ces équipements sophistiqués sans y être formé. </w:t>
      </w:r>
    </w:p>
    <w:p>
      <w:pPr>
        <w:spacing w:after="120"/>
        <w:jc w:val="both"/>
        <w:rPr>
          <w:rFonts w:ascii="Calibri" w:hAnsi="Calibri" w:cs="Calibri"/>
          <w:sz w:val="20"/>
          <w:szCs w:val="20"/>
        </w:rPr>
      </w:pPr>
      <w:r>
        <w:rPr>
          <w:rFonts w:ascii="Calibri" w:hAnsi="Calibri" w:cs="Calibri"/>
          <w:sz w:val="20"/>
          <w:szCs w:val="20"/>
        </w:rPr>
        <w:t>Chaque CTA dispose, grâce à l’intervention du Fonds social européen, d’un équivalent temps plein chargé de l’élaboration de l’offre des formations dispensées en CTA, des séquences d’apprentissage et de la formation des enseignants à l’utilisation des équipements, quel que soit leur réseau d’enseignement. Les Centres de Compétence et de Référence professionnelle sont également à disposition le cas échéant.</w:t>
      </w:r>
    </w:p>
    <w:p>
      <w:pPr>
        <w:spacing w:after="120"/>
        <w:jc w:val="both"/>
        <w:rPr>
          <w:rFonts w:ascii="Calibri" w:hAnsi="Calibri" w:cs="Calibri"/>
          <w:sz w:val="20"/>
          <w:szCs w:val="20"/>
        </w:rPr>
      </w:pPr>
      <w:r>
        <w:rPr>
          <w:rFonts w:ascii="Calibri" w:hAnsi="Calibri" w:cs="Calibri"/>
          <w:sz w:val="20"/>
          <w:szCs w:val="20"/>
        </w:rPr>
        <w:t>Ces formateurs étant au service de l’inter réseau, chaque CTA doit pouvoir présenter une offre de formation inter réseau au catalogue de formation de l’Institut de Formation en cours de carrière (IFC).</w:t>
      </w:r>
    </w:p>
    <w:p>
      <w:pPr>
        <w:rPr>
          <w:rFonts w:ascii="Calibri" w:hAnsi="Calibri" w:cs="Calibri"/>
          <w:b/>
          <w:sz w:val="36"/>
          <w:szCs w:val="36"/>
          <w:u w:val="single"/>
        </w:rPr>
      </w:pPr>
      <w:r>
        <w:rPr>
          <w:rFonts w:ascii="Calibri" w:hAnsi="Calibri" w:cs="Calibri"/>
          <w:b/>
          <w:sz w:val="36"/>
          <w:szCs w:val="36"/>
          <w:u w:val="single"/>
        </w:rPr>
        <w:br w:type="page"/>
      </w:r>
    </w:p>
    <w:p>
      <w:pPr>
        <w:numPr>
          <w:ilvl w:val="0"/>
          <w:numId w:val="2"/>
        </w:numPr>
        <w:tabs>
          <w:tab w:val="clear" w:pos="720"/>
          <w:tab w:val="num" w:pos="426"/>
        </w:tabs>
        <w:spacing w:after="360"/>
        <w:ind w:left="426" w:hanging="426"/>
        <w:jc w:val="both"/>
        <w:rPr>
          <w:rFonts w:ascii="Calibri" w:hAnsi="Calibri" w:cs="Calibri"/>
          <w:b/>
          <w:smallCaps/>
          <w:sz w:val="40"/>
          <w:szCs w:val="40"/>
          <w:u w:val="single"/>
        </w:rPr>
      </w:pPr>
      <w:r>
        <w:rPr>
          <w:rFonts w:ascii="Calibri" w:hAnsi="Calibri" w:cs="Calibri"/>
          <w:b/>
          <w:smallCaps/>
          <w:sz w:val="40"/>
          <w:szCs w:val="40"/>
          <w:u w:val="single"/>
        </w:rPr>
        <w:lastRenderedPageBreak/>
        <w:t>Catégories de frais</w:t>
      </w:r>
    </w:p>
    <w:p>
      <w:pPr>
        <w:spacing w:after="120"/>
        <w:jc w:val="both"/>
        <w:rPr>
          <w:rFonts w:ascii="Calibri" w:hAnsi="Calibri" w:cs="Calibri"/>
          <w:sz w:val="20"/>
          <w:szCs w:val="20"/>
        </w:rPr>
      </w:pPr>
      <w:r>
        <w:rPr>
          <w:rFonts w:ascii="Calibri" w:hAnsi="Calibri" w:cs="Calibri"/>
          <w:sz w:val="20"/>
          <w:szCs w:val="20"/>
        </w:rPr>
        <w:t xml:space="preserve">Chaque CTA a été classé dans une catégorie de frais au début de la mise en place du dispositif (voir </w:t>
      </w:r>
      <w:r>
        <w:rPr>
          <w:rFonts w:ascii="Calibri" w:hAnsi="Calibri" w:cs="Calibri"/>
          <w:b/>
          <w:sz w:val="20"/>
          <w:szCs w:val="20"/>
          <w:u w:val="single"/>
        </w:rPr>
        <w:t>annexe 14</w:t>
      </w:r>
      <w:r>
        <w:rPr>
          <w:rFonts w:ascii="Calibri" w:hAnsi="Calibri" w:cs="Calibri"/>
          <w:sz w:val="20"/>
          <w:szCs w:val="20"/>
        </w:rPr>
        <w:t xml:space="preserve">). Ce classement a été établi sur la base d'une estimation des coûts nécessaires à l’organisation de leurs formations demandée aux centres. </w:t>
      </w:r>
    </w:p>
    <w:p>
      <w:pPr>
        <w:spacing w:after="120"/>
        <w:jc w:val="both"/>
        <w:rPr>
          <w:rFonts w:ascii="Calibri" w:hAnsi="Calibri" w:cs="Calibri"/>
          <w:sz w:val="20"/>
          <w:szCs w:val="20"/>
        </w:rPr>
      </w:pPr>
      <w:r>
        <w:rPr>
          <w:rFonts w:ascii="Calibri" w:hAnsi="Calibri" w:cs="Calibri"/>
          <w:sz w:val="20"/>
          <w:szCs w:val="20"/>
        </w:rPr>
        <w:t>Il existe 4 catégories de frais :</w:t>
      </w:r>
    </w:p>
    <w:p>
      <w:pPr>
        <w:numPr>
          <w:ilvl w:val="0"/>
          <w:numId w:val="40"/>
        </w:numPr>
        <w:spacing w:after="120"/>
        <w:jc w:val="both"/>
        <w:rPr>
          <w:rFonts w:ascii="Calibri" w:hAnsi="Calibri" w:cs="Calibri"/>
          <w:sz w:val="20"/>
          <w:szCs w:val="20"/>
        </w:rPr>
      </w:pPr>
      <w:r>
        <w:rPr>
          <w:rFonts w:ascii="Calibri" w:hAnsi="Calibri" w:cs="Calibri"/>
          <w:sz w:val="20"/>
          <w:szCs w:val="20"/>
        </w:rPr>
        <w:t>Catégorie 1 : 10 € par jour et par apprenant</w:t>
      </w:r>
    </w:p>
    <w:p>
      <w:pPr>
        <w:numPr>
          <w:ilvl w:val="0"/>
          <w:numId w:val="40"/>
        </w:numPr>
        <w:spacing w:after="120"/>
        <w:jc w:val="both"/>
        <w:rPr>
          <w:rFonts w:ascii="Calibri" w:hAnsi="Calibri" w:cs="Calibri"/>
          <w:sz w:val="20"/>
          <w:szCs w:val="20"/>
        </w:rPr>
      </w:pPr>
      <w:r>
        <w:rPr>
          <w:rFonts w:ascii="Calibri" w:hAnsi="Calibri" w:cs="Calibri"/>
          <w:sz w:val="20"/>
          <w:szCs w:val="20"/>
        </w:rPr>
        <w:t>Catégorie 2 : 15 € par jour et par apprenant</w:t>
      </w:r>
    </w:p>
    <w:p>
      <w:pPr>
        <w:numPr>
          <w:ilvl w:val="0"/>
          <w:numId w:val="40"/>
        </w:numPr>
        <w:spacing w:after="120"/>
        <w:jc w:val="both"/>
        <w:rPr>
          <w:rFonts w:ascii="Calibri" w:hAnsi="Calibri" w:cs="Calibri"/>
          <w:sz w:val="20"/>
          <w:szCs w:val="20"/>
        </w:rPr>
      </w:pPr>
      <w:r>
        <w:rPr>
          <w:rFonts w:ascii="Calibri" w:hAnsi="Calibri" w:cs="Calibri"/>
          <w:sz w:val="20"/>
          <w:szCs w:val="20"/>
        </w:rPr>
        <w:t>Catégorie 3 : 20 € par jour et par apprenant</w:t>
      </w:r>
    </w:p>
    <w:p>
      <w:pPr>
        <w:numPr>
          <w:ilvl w:val="0"/>
          <w:numId w:val="40"/>
        </w:numPr>
        <w:spacing w:after="120"/>
        <w:jc w:val="both"/>
        <w:rPr>
          <w:rFonts w:ascii="Calibri" w:hAnsi="Calibri" w:cs="Calibri"/>
          <w:sz w:val="20"/>
          <w:szCs w:val="20"/>
        </w:rPr>
      </w:pPr>
      <w:r>
        <w:rPr>
          <w:rFonts w:ascii="Calibri" w:hAnsi="Calibri" w:cs="Calibri"/>
          <w:sz w:val="20"/>
          <w:szCs w:val="20"/>
        </w:rPr>
        <w:t>Catégorie 4 : 25 € par jour et par apprenant</w:t>
      </w:r>
    </w:p>
    <w:p>
      <w:pPr>
        <w:spacing w:after="120"/>
        <w:jc w:val="both"/>
        <w:rPr>
          <w:rFonts w:ascii="Calibri" w:hAnsi="Calibri" w:cs="Calibri"/>
          <w:sz w:val="20"/>
          <w:szCs w:val="20"/>
        </w:rPr>
      </w:pPr>
      <w:r>
        <w:rPr>
          <w:rFonts w:ascii="Calibri" w:hAnsi="Calibri" w:cs="Calibri"/>
          <w:sz w:val="20"/>
          <w:szCs w:val="20"/>
        </w:rPr>
        <w:t>Ces catégories de frais permettent de calculer le montant de la subvention pour frais de consommables allouée à chaque CTA (cf. point 8.2), mais aussi le montant à facturer aux publics autres que ceux issus de l’enseignement obligatoire (cf. point 6.5).</w:t>
      </w:r>
    </w:p>
    <w:p>
      <w:pPr>
        <w:numPr>
          <w:ilvl w:val="0"/>
          <w:numId w:val="2"/>
        </w:numPr>
        <w:tabs>
          <w:tab w:val="clear" w:pos="720"/>
          <w:tab w:val="num" w:pos="426"/>
        </w:tabs>
        <w:spacing w:before="360" w:after="360"/>
        <w:ind w:left="426" w:hanging="426"/>
        <w:jc w:val="both"/>
        <w:rPr>
          <w:rFonts w:ascii="Calibri" w:hAnsi="Calibri" w:cs="Calibri"/>
          <w:b/>
          <w:smallCaps/>
          <w:sz w:val="40"/>
          <w:szCs w:val="40"/>
          <w:u w:val="single"/>
        </w:rPr>
      </w:pPr>
      <w:r>
        <w:rPr>
          <w:rFonts w:ascii="Calibri" w:hAnsi="Calibri" w:cs="Calibri"/>
          <w:b/>
          <w:smallCaps/>
          <w:sz w:val="40"/>
          <w:szCs w:val="40"/>
          <w:u w:val="single"/>
        </w:rPr>
        <w:t>Subventions annuelles</w:t>
      </w:r>
    </w:p>
    <w:p>
      <w:pPr>
        <w:spacing w:after="120"/>
        <w:jc w:val="both"/>
        <w:rPr>
          <w:rFonts w:ascii="Calibri" w:hAnsi="Calibri" w:cs="Calibri"/>
          <w:sz w:val="20"/>
          <w:szCs w:val="20"/>
        </w:rPr>
      </w:pPr>
      <w:r>
        <w:rPr>
          <w:rFonts w:ascii="Calibri" w:hAnsi="Calibri" w:cs="Calibri"/>
          <w:sz w:val="20"/>
          <w:szCs w:val="20"/>
        </w:rPr>
        <w:t>Deux types de subventions sont versés aux CTA chaque année :</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une subvention pour les frais de fonctionnement</w:t>
      </w:r>
    </w:p>
    <w:p>
      <w:pPr>
        <w:numPr>
          <w:ilvl w:val="1"/>
          <w:numId w:val="39"/>
        </w:numPr>
        <w:tabs>
          <w:tab w:val="clear" w:pos="1440"/>
          <w:tab w:val="num" w:pos="709"/>
        </w:tabs>
        <w:spacing w:after="120"/>
        <w:ind w:left="709"/>
        <w:jc w:val="both"/>
        <w:rPr>
          <w:rFonts w:ascii="Calibri" w:hAnsi="Calibri" w:cs="Calibri"/>
          <w:sz w:val="20"/>
          <w:szCs w:val="20"/>
        </w:rPr>
      </w:pPr>
      <w:r>
        <w:rPr>
          <w:rFonts w:ascii="Calibri" w:hAnsi="Calibri" w:cs="Calibri"/>
          <w:sz w:val="20"/>
          <w:szCs w:val="20"/>
        </w:rPr>
        <w:t>une subvention pour les frais de consommables</w:t>
      </w:r>
    </w:p>
    <w:p>
      <w:pPr>
        <w:spacing w:after="120"/>
        <w:jc w:val="both"/>
        <w:rPr>
          <w:rFonts w:ascii="Calibri" w:hAnsi="Calibri" w:cs="Calibri"/>
          <w:sz w:val="20"/>
          <w:szCs w:val="20"/>
        </w:rPr>
      </w:pPr>
      <w:r>
        <w:rPr>
          <w:rFonts w:ascii="Calibri" w:hAnsi="Calibri" w:cs="Calibri"/>
          <w:sz w:val="20"/>
          <w:szCs w:val="20"/>
        </w:rPr>
        <w:t>Ces frais sont octroyés aux CTA par le Gouvernement de la Fédération Wallonie-Bruxelles par année civile.</w:t>
      </w:r>
    </w:p>
    <w:p>
      <w:pPr>
        <w:numPr>
          <w:ilvl w:val="1"/>
          <w:numId w:val="55"/>
        </w:numPr>
        <w:spacing w:before="240" w:after="240"/>
        <w:ind w:left="567" w:hanging="567"/>
        <w:jc w:val="both"/>
        <w:rPr>
          <w:rFonts w:ascii="Calibri" w:hAnsi="Calibri" w:cs="Calibri"/>
          <w:b/>
          <w:smallCaps/>
          <w:sz w:val="32"/>
          <w:szCs w:val="32"/>
        </w:rPr>
      </w:pPr>
      <w:r>
        <w:rPr>
          <w:rFonts w:ascii="Calibri" w:hAnsi="Calibri" w:cs="Calibri"/>
          <w:b/>
          <w:smallCaps/>
          <w:sz w:val="32"/>
          <w:szCs w:val="32"/>
        </w:rPr>
        <w:t>Frais de fonctionnement</w:t>
      </w:r>
    </w:p>
    <w:p>
      <w:pPr>
        <w:spacing w:after="120"/>
        <w:jc w:val="both"/>
        <w:rPr>
          <w:rFonts w:ascii="Calibri" w:hAnsi="Calibri" w:cs="Calibri"/>
          <w:sz w:val="20"/>
          <w:szCs w:val="20"/>
        </w:rPr>
      </w:pPr>
      <w:r>
        <w:rPr>
          <w:rFonts w:ascii="Calibri" w:hAnsi="Calibri" w:cs="Calibri"/>
          <w:sz w:val="20"/>
          <w:szCs w:val="20"/>
        </w:rPr>
        <w:t>Un montant forfaitaire de 10.400 euros est alloué à chaque CTA pour ses frais de fonctionnement. Cette somme est versée une fois par an et ne doit pas être justifiée.</w:t>
      </w:r>
    </w:p>
    <w:p>
      <w:pPr>
        <w:spacing w:after="120"/>
        <w:jc w:val="both"/>
        <w:rPr>
          <w:rFonts w:ascii="Calibri" w:hAnsi="Calibri" w:cs="Calibri"/>
          <w:sz w:val="20"/>
          <w:szCs w:val="20"/>
        </w:rPr>
      </w:pPr>
      <w:r>
        <w:rPr>
          <w:rFonts w:ascii="Calibri" w:hAnsi="Calibri" w:cs="Calibri"/>
          <w:sz w:val="20"/>
          <w:szCs w:val="20"/>
        </w:rPr>
        <w:t>Elle couvre les dépenses suivantes : entretien des locaux, consommation en électricité et chauffage, nettoyage, petites réparations, maintenance des équipements, etc.</w:t>
      </w:r>
    </w:p>
    <w:p>
      <w:pPr>
        <w:numPr>
          <w:ilvl w:val="1"/>
          <w:numId w:val="55"/>
        </w:numPr>
        <w:spacing w:before="240" w:after="240"/>
        <w:ind w:left="567" w:hanging="567"/>
        <w:jc w:val="both"/>
        <w:rPr>
          <w:rFonts w:ascii="Calibri" w:hAnsi="Calibri" w:cs="Calibri"/>
          <w:b/>
          <w:smallCaps/>
          <w:sz w:val="32"/>
          <w:szCs w:val="32"/>
        </w:rPr>
      </w:pPr>
      <w:r>
        <w:rPr>
          <w:rFonts w:ascii="Calibri" w:hAnsi="Calibri" w:cs="Calibri"/>
          <w:b/>
          <w:smallCaps/>
          <w:sz w:val="32"/>
          <w:szCs w:val="32"/>
        </w:rPr>
        <w:t>Frais de consommables</w:t>
      </w:r>
    </w:p>
    <w:p>
      <w:pPr>
        <w:spacing w:after="120"/>
        <w:jc w:val="both"/>
        <w:rPr>
          <w:rFonts w:ascii="Calibri" w:hAnsi="Calibri" w:cs="Calibri"/>
          <w:sz w:val="20"/>
          <w:szCs w:val="20"/>
        </w:rPr>
      </w:pPr>
      <w:r>
        <w:rPr>
          <w:rFonts w:ascii="Calibri" w:hAnsi="Calibri" w:cs="Calibri"/>
          <w:sz w:val="20"/>
          <w:szCs w:val="20"/>
        </w:rPr>
        <w:t>Chaque CTA en activité reçoit une subvention pour couvrir le coût des consommables nécessaires à l’organisation des formations. Le montant en est différent selon les centres car basé sur la catégorie de frais dans laquelle est classé chaque CTA (voir point 7).</w:t>
      </w:r>
    </w:p>
    <w:p>
      <w:pPr>
        <w:numPr>
          <w:ilvl w:val="2"/>
          <w:numId w:val="55"/>
        </w:numPr>
        <w:tabs>
          <w:tab w:val="left" w:pos="709"/>
        </w:tabs>
        <w:spacing w:before="240" w:after="240"/>
        <w:ind w:left="709" w:hanging="709"/>
        <w:jc w:val="both"/>
        <w:rPr>
          <w:rFonts w:ascii="Calibri" w:hAnsi="Calibri" w:cs="Calibri"/>
          <w:b/>
          <w:sz w:val="28"/>
          <w:szCs w:val="28"/>
        </w:rPr>
      </w:pPr>
      <w:r>
        <w:rPr>
          <w:rFonts w:ascii="Calibri" w:hAnsi="Calibri" w:cs="Calibri"/>
          <w:b/>
          <w:sz w:val="28"/>
          <w:szCs w:val="28"/>
        </w:rPr>
        <w:t>Calcul du montant maximal de la subvention</w:t>
      </w:r>
    </w:p>
    <w:p>
      <w:pPr>
        <w:spacing w:after="120"/>
        <w:jc w:val="both"/>
        <w:rPr>
          <w:rFonts w:ascii="Calibri" w:hAnsi="Calibri" w:cs="Calibri"/>
          <w:sz w:val="20"/>
          <w:szCs w:val="20"/>
        </w:rPr>
      </w:pPr>
      <w:r>
        <w:rPr>
          <w:rFonts w:ascii="Calibri" w:hAnsi="Calibri" w:cs="Calibri"/>
          <w:sz w:val="20"/>
          <w:szCs w:val="20"/>
        </w:rPr>
        <w:t>La subvention pour frais de consommable est calculée sur base de la catégorie de frais dans laquelle est classé chaque CTA et d’une fréquentation maximale annuelle de 1.040 présences d’apprenants (soit un groupe de 10 apprenants pendant les 104 jours minimaux d’ouverture définis au point 6.7.).</w:t>
      </w:r>
    </w:p>
    <w:p>
      <w:pPr>
        <w:rPr>
          <w:rFonts w:ascii="Calibri" w:hAnsi="Calibri" w:cs="Calibri"/>
          <w:b/>
          <w:sz w:val="28"/>
          <w:szCs w:val="28"/>
        </w:rPr>
      </w:pPr>
      <w:r>
        <w:rPr>
          <w:rFonts w:ascii="Calibri" w:hAnsi="Calibri" w:cs="Calibri"/>
          <w:b/>
          <w:sz w:val="28"/>
          <w:szCs w:val="28"/>
        </w:rPr>
        <w:br w:type="page"/>
      </w:r>
    </w:p>
    <w:p>
      <w:pPr>
        <w:numPr>
          <w:ilvl w:val="2"/>
          <w:numId w:val="55"/>
        </w:numPr>
        <w:tabs>
          <w:tab w:val="left" w:pos="709"/>
        </w:tabs>
        <w:spacing w:before="240" w:after="240"/>
        <w:ind w:left="709" w:hanging="709"/>
        <w:jc w:val="both"/>
        <w:rPr>
          <w:rFonts w:ascii="Calibri" w:hAnsi="Calibri" w:cs="Calibri"/>
          <w:b/>
          <w:sz w:val="28"/>
          <w:szCs w:val="28"/>
        </w:rPr>
      </w:pPr>
      <w:r>
        <w:rPr>
          <w:rFonts w:ascii="Calibri" w:hAnsi="Calibri" w:cs="Calibri"/>
          <w:b/>
          <w:sz w:val="28"/>
          <w:szCs w:val="28"/>
        </w:rPr>
        <w:lastRenderedPageBreak/>
        <w:t>Formations concernées par la subvention</w:t>
      </w:r>
    </w:p>
    <w:p>
      <w:pPr>
        <w:spacing w:after="120"/>
        <w:jc w:val="both"/>
        <w:rPr>
          <w:rFonts w:ascii="Calibri" w:hAnsi="Calibri" w:cs="Calibri"/>
          <w:sz w:val="20"/>
          <w:szCs w:val="20"/>
        </w:rPr>
      </w:pPr>
      <w:r>
        <w:rPr>
          <w:rFonts w:ascii="Calibri" w:hAnsi="Calibri" w:cs="Calibri"/>
          <w:sz w:val="20"/>
          <w:szCs w:val="20"/>
        </w:rPr>
        <w:t>Cette subvention est attribuée aux CTA pour chaque formation organisée à destination des publics-cibles suivants :</w:t>
      </w:r>
    </w:p>
    <w:p>
      <w:pPr>
        <w:numPr>
          <w:ilvl w:val="0"/>
          <w:numId w:val="26"/>
        </w:numPr>
        <w:spacing w:after="120"/>
        <w:jc w:val="both"/>
        <w:rPr>
          <w:rFonts w:ascii="Calibri" w:hAnsi="Calibri" w:cs="Calibri"/>
          <w:sz w:val="20"/>
          <w:szCs w:val="20"/>
        </w:rPr>
      </w:pPr>
      <w:r>
        <w:rPr>
          <w:rFonts w:ascii="Calibri" w:hAnsi="Calibri" w:cs="Calibri"/>
          <w:sz w:val="20"/>
          <w:szCs w:val="20"/>
        </w:rPr>
        <w:t>les élèves et enseignants de l’enseignement secondaire qualifiant, à savoir :</w:t>
      </w:r>
    </w:p>
    <w:p>
      <w:pPr>
        <w:numPr>
          <w:ilvl w:val="1"/>
          <w:numId w:val="45"/>
        </w:numPr>
        <w:spacing w:after="120"/>
        <w:jc w:val="both"/>
        <w:rPr>
          <w:rFonts w:ascii="Calibri" w:hAnsi="Calibri" w:cs="Calibri"/>
          <w:sz w:val="20"/>
          <w:szCs w:val="20"/>
        </w:rPr>
      </w:pPr>
      <w:r>
        <w:rPr>
          <w:rFonts w:ascii="Calibri" w:hAnsi="Calibri" w:cs="Calibri"/>
          <w:sz w:val="20"/>
          <w:szCs w:val="20"/>
        </w:rPr>
        <w:t>de la 4</w:t>
      </w:r>
      <w:r>
        <w:rPr>
          <w:rFonts w:ascii="Calibri" w:hAnsi="Calibri" w:cs="Calibri"/>
          <w:sz w:val="20"/>
          <w:szCs w:val="20"/>
          <w:vertAlign w:val="superscript"/>
        </w:rPr>
        <w:t>e</w:t>
      </w:r>
      <w:r>
        <w:rPr>
          <w:rFonts w:ascii="Calibri" w:hAnsi="Calibri" w:cs="Calibri"/>
          <w:sz w:val="20"/>
          <w:szCs w:val="20"/>
        </w:rPr>
        <w:t xml:space="preserve"> année de l’enseignement secondaire ordinaire et spécialisé de forme 4 organisée dans le régime de la CPU (</w:t>
      </w:r>
      <w:r>
        <w:rPr>
          <w:rFonts w:ascii="Calibri" w:hAnsi="Calibri" w:cs="Calibri"/>
          <w:b/>
          <w:sz w:val="20"/>
          <w:szCs w:val="20"/>
          <w:u w:val="single"/>
        </w:rPr>
        <w:t>à partir du 1</w:t>
      </w:r>
      <w:r>
        <w:rPr>
          <w:rFonts w:ascii="Calibri" w:hAnsi="Calibri" w:cs="Calibri"/>
          <w:b/>
          <w:sz w:val="20"/>
          <w:szCs w:val="20"/>
          <w:u w:val="single"/>
          <w:vertAlign w:val="superscript"/>
        </w:rPr>
        <w:t>er</w:t>
      </w:r>
      <w:r>
        <w:rPr>
          <w:rFonts w:ascii="Calibri" w:hAnsi="Calibri" w:cs="Calibri"/>
          <w:b/>
          <w:sz w:val="20"/>
          <w:szCs w:val="20"/>
          <w:u w:val="single"/>
        </w:rPr>
        <w:t xml:space="preserve"> septembre 2018</w:t>
      </w:r>
      <w:r>
        <w:rPr>
          <w:rFonts w:ascii="Calibri" w:hAnsi="Calibri" w:cs="Calibri"/>
          <w:sz w:val="20"/>
          <w:szCs w:val="20"/>
        </w:rPr>
        <w:t>)</w:t>
      </w:r>
    </w:p>
    <w:p>
      <w:pPr>
        <w:numPr>
          <w:ilvl w:val="1"/>
          <w:numId w:val="45"/>
        </w:numPr>
        <w:spacing w:after="120"/>
        <w:jc w:val="both"/>
        <w:rPr>
          <w:rFonts w:ascii="Calibri" w:hAnsi="Calibri" w:cs="Calibri"/>
          <w:sz w:val="20"/>
          <w:szCs w:val="20"/>
        </w:rPr>
      </w:pPr>
      <w:r>
        <w:rPr>
          <w:rFonts w:ascii="Calibri" w:hAnsi="Calibri" w:cs="Calibri"/>
          <w:sz w:val="20"/>
          <w:szCs w:val="20"/>
        </w:rPr>
        <w:t>des 3</w:t>
      </w:r>
      <w:r>
        <w:rPr>
          <w:rFonts w:ascii="Calibri" w:hAnsi="Calibri" w:cs="Calibri"/>
          <w:sz w:val="20"/>
          <w:szCs w:val="20"/>
          <w:vertAlign w:val="superscript"/>
        </w:rPr>
        <w:t>e</w:t>
      </w:r>
      <w:r>
        <w:rPr>
          <w:rFonts w:ascii="Calibri" w:hAnsi="Calibri" w:cs="Calibri"/>
          <w:sz w:val="20"/>
          <w:szCs w:val="20"/>
        </w:rPr>
        <w:t xml:space="preserve"> et 4</w:t>
      </w:r>
      <w:r>
        <w:rPr>
          <w:rFonts w:ascii="Calibri" w:hAnsi="Calibri" w:cs="Calibri"/>
          <w:sz w:val="20"/>
          <w:szCs w:val="20"/>
          <w:vertAlign w:val="superscript"/>
        </w:rPr>
        <w:t>e</w:t>
      </w:r>
      <w:r>
        <w:rPr>
          <w:rFonts w:ascii="Calibri" w:hAnsi="Calibri" w:cs="Calibri"/>
          <w:sz w:val="20"/>
          <w:szCs w:val="20"/>
        </w:rPr>
        <w:t xml:space="preserve"> degrés des options techniques de qualification et professionnelles de l’enseignement secondaire ordinaire de plein exercice et en alternance</w:t>
      </w:r>
    </w:p>
    <w:p>
      <w:pPr>
        <w:numPr>
          <w:ilvl w:val="1"/>
          <w:numId w:val="45"/>
        </w:numPr>
        <w:spacing w:after="120"/>
        <w:jc w:val="both"/>
        <w:rPr>
          <w:rFonts w:ascii="Calibri" w:hAnsi="Calibri" w:cs="Calibri"/>
          <w:sz w:val="20"/>
          <w:szCs w:val="20"/>
        </w:rPr>
      </w:pPr>
      <w:r>
        <w:rPr>
          <w:rFonts w:ascii="Calibri" w:hAnsi="Calibri" w:cs="Calibri"/>
          <w:sz w:val="20"/>
          <w:szCs w:val="20"/>
        </w:rPr>
        <w:t>du 3</w:t>
      </w:r>
      <w:r>
        <w:rPr>
          <w:rFonts w:ascii="Calibri" w:hAnsi="Calibri" w:cs="Calibri"/>
          <w:sz w:val="20"/>
          <w:szCs w:val="20"/>
          <w:vertAlign w:val="superscript"/>
        </w:rPr>
        <w:t>e</w:t>
      </w:r>
      <w:r>
        <w:rPr>
          <w:rFonts w:ascii="Calibri" w:hAnsi="Calibri" w:cs="Calibri"/>
          <w:sz w:val="20"/>
          <w:szCs w:val="20"/>
        </w:rPr>
        <w:t xml:space="preserve"> degré des options techniques de qualification et professionnelles de l’enseignement secondaire spécialisé de forme 4 de plein exercice et en alternance</w:t>
      </w:r>
    </w:p>
    <w:p>
      <w:pPr>
        <w:numPr>
          <w:ilvl w:val="1"/>
          <w:numId w:val="45"/>
        </w:numPr>
        <w:spacing w:after="120"/>
        <w:jc w:val="both"/>
        <w:rPr>
          <w:rFonts w:ascii="Calibri" w:hAnsi="Calibri" w:cs="Calibri"/>
          <w:sz w:val="20"/>
          <w:szCs w:val="20"/>
        </w:rPr>
      </w:pPr>
      <w:r>
        <w:rPr>
          <w:rFonts w:ascii="Calibri" w:hAnsi="Calibri" w:cs="Calibri"/>
          <w:sz w:val="20"/>
          <w:szCs w:val="20"/>
        </w:rPr>
        <w:t>de la 3</w:t>
      </w:r>
      <w:r>
        <w:rPr>
          <w:rFonts w:ascii="Calibri" w:hAnsi="Calibri" w:cs="Calibri"/>
          <w:sz w:val="20"/>
          <w:szCs w:val="20"/>
          <w:vertAlign w:val="superscript"/>
        </w:rPr>
        <w:t>e</w:t>
      </w:r>
      <w:r>
        <w:rPr>
          <w:rFonts w:ascii="Calibri" w:hAnsi="Calibri" w:cs="Calibri"/>
          <w:sz w:val="20"/>
          <w:szCs w:val="20"/>
        </w:rPr>
        <w:t xml:space="preserve"> phase de l’enseignement secondaire spécialisé de forme 3 de plein exercice et en alternance</w:t>
      </w:r>
    </w:p>
    <w:p>
      <w:pPr>
        <w:numPr>
          <w:ilvl w:val="1"/>
          <w:numId w:val="45"/>
        </w:numPr>
        <w:spacing w:after="120"/>
        <w:jc w:val="both"/>
        <w:rPr>
          <w:rFonts w:ascii="Calibri" w:hAnsi="Calibri" w:cs="Calibri"/>
          <w:sz w:val="20"/>
          <w:szCs w:val="20"/>
        </w:rPr>
      </w:pPr>
      <w:r>
        <w:rPr>
          <w:rFonts w:ascii="Calibri" w:hAnsi="Calibri" w:cs="Calibri"/>
          <w:sz w:val="20"/>
          <w:szCs w:val="20"/>
        </w:rPr>
        <w:t>du 3</w:t>
      </w:r>
      <w:r>
        <w:rPr>
          <w:rFonts w:ascii="Calibri" w:hAnsi="Calibri" w:cs="Calibri"/>
          <w:sz w:val="20"/>
          <w:szCs w:val="20"/>
          <w:vertAlign w:val="superscript"/>
        </w:rPr>
        <w:t>e</w:t>
      </w:r>
      <w:r>
        <w:rPr>
          <w:rFonts w:ascii="Calibri" w:hAnsi="Calibri" w:cs="Calibri"/>
          <w:sz w:val="20"/>
          <w:szCs w:val="20"/>
        </w:rPr>
        <w:t xml:space="preserve"> degré de l’enseignement technique de la section de transition de l’enseignement secondaire ordinaire</w:t>
      </w:r>
    </w:p>
    <w:p>
      <w:pPr>
        <w:numPr>
          <w:ilvl w:val="0"/>
          <w:numId w:val="26"/>
        </w:numPr>
        <w:spacing w:after="120"/>
        <w:jc w:val="both"/>
        <w:rPr>
          <w:rFonts w:ascii="Calibri" w:hAnsi="Calibri" w:cs="Calibri"/>
          <w:sz w:val="20"/>
          <w:szCs w:val="20"/>
        </w:rPr>
      </w:pPr>
      <w:r>
        <w:rPr>
          <w:rFonts w:ascii="Calibri" w:hAnsi="Calibri" w:cs="Calibri"/>
          <w:sz w:val="20"/>
          <w:szCs w:val="20"/>
        </w:rPr>
        <w:t>les élèves et enseignants du 3</w:t>
      </w:r>
      <w:r>
        <w:rPr>
          <w:rFonts w:ascii="Calibri" w:hAnsi="Calibri" w:cs="Calibri"/>
          <w:sz w:val="20"/>
          <w:szCs w:val="20"/>
          <w:vertAlign w:val="superscript"/>
        </w:rPr>
        <w:t>e</w:t>
      </w:r>
      <w:r>
        <w:rPr>
          <w:rFonts w:ascii="Calibri" w:hAnsi="Calibri" w:cs="Calibri"/>
          <w:sz w:val="20"/>
          <w:szCs w:val="20"/>
        </w:rPr>
        <w:t xml:space="preserve"> degré de l’enseignement technique de la section de transition de l’enseignement secondaire ordinaire</w:t>
      </w:r>
    </w:p>
    <w:p>
      <w:pPr>
        <w:numPr>
          <w:ilvl w:val="0"/>
          <w:numId w:val="26"/>
        </w:numPr>
        <w:spacing w:after="120"/>
        <w:jc w:val="both"/>
        <w:rPr>
          <w:rFonts w:ascii="Calibri" w:hAnsi="Calibri" w:cs="Calibri"/>
          <w:sz w:val="20"/>
          <w:szCs w:val="20"/>
        </w:rPr>
      </w:pPr>
      <w:r>
        <w:rPr>
          <w:rFonts w:ascii="Calibri" w:hAnsi="Calibri" w:cs="Calibri"/>
          <w:sz w:val="20"/>
          <w:szCs w:val="20"/>
        </w:rPr>
        <w:t>les étudiants et les enseignants de l’enseignement de promotion sociale</w:t>
      </w:r>
    </w:p>
    <w:p>
      <w:pPr>
        <w:numPr>
          <w:ilvl w:val="0"/>
          <w:numId w:val="26"/>
        </w:numPr>
        <w:spacing w:after="120"/>
        <w:jc w:val="both"/>
        <w:rPr>
          <w:rFonts w:ascii="Calibri" w:hAnsi="Calibri" w:cs="Calibri"/>
          <w:sz w:val="20"/>
          <w:szCs w:val="20"/>
        </w:rPr>
      </w:pPr>
      <w:r>
        <w:rPr>
          <w:rFonts w:ascii="Calibri" w:hAnsi="Calibri" w:cs="Calibri"/>
          <w:sz w:val="20"/>
          <w:szCs w:val="20"/>
        </w:rPr>
        <w:t>les étudiants et les enseignants de l’enseignement supérieur</w:t>
      </w:r>
    </w:p>
    <w:p>
      <w:pPr>
        <w:numPr>
          <w:ilvl w:val="0"/>
          <w:numId w:val="26"/>
        </w:numPr>
        <w:spacing w:after="120"/>
        <w:jc w:val="both"/>
        <w:rPr>
          <w:rFonts w:ascii="Calibri" w:hAnsi="Calibri" w:cs="Calibri"/>
          <w:sz w:val="20"/>
          <w:szCs w:val="20"/>
        </w:rPr>
      </w:pPr>
      <w:r>
        <w:rPr>
          <w:rFonts w:ascii="Calibri" w:hAnsi="Calibri" w:cs="Calibri"/>
          <w:sz w:val="20"/>
          <w:szCs w:val="20"/>
        </w:rPr>
        <w:t>les apprenants et les formateurs de l’IFAPME et du SFPME, ainsi que de l’AWIPH (uniquement en Région wallonne)</w:t>
      </w:r>
    </w:p>
    <w:p>
      <w:pPr>
        <w:numPr>
          <w:ilvl w:val="0"/>
          <w:numId w:val="26"/>
        </w:numPr>
        <w:spacing w:after="120"/>
        <w:jc w:val="both"/>
        <w:rPr>
          <w:rFonts w:ascii="Calibri" w:hAnsi="Calibri" w:cs="Calibri"/>
          <w:sz w:val="20"/>
          <w:szCs w:val="20"/>
        </w:rPr>
      </w:pPr>
      <w:r>
        <w:rPr>
          <w:rFonts w:ascii="Calibri" w:hAnsi="Calibri" w:cs="Calibri"/>
          <w:sz w:val="20"/>
          <w:szCs w:val="20"/>
        </w:rPr>
        <w:t>les demandeurs d’emploi, par l’intermédiaire du Forem et de Bruxelles-Formation</w:t>
      </w:r>
    </w:p>
    <w:p>
      <w:pPr>
        <w:numPr>
          <w:ilvl w:val="0"/>
          <w:numId w:val="26"/>
        </w:numPr>
        <w:spacing w:after="120"/>
        <w:jc w:val="both"/>
        <w:rPr>
          <w:rFonts w:ascii="Calibri" w:hAnsi="Calibri" w:cs="Calibri"/>
          <w:sz w:val="20"/>
          <w:szCs w:val="20"/>
        </w:rPr>
      </w:pPr>
      <w:r>
        <w:rPr>
          <w:rFonts w:ascii="Calibri" w:hAnsi="Calibri" w:cs="Calibri"/>
          <w:sz w:val="20"/>
          <w:szCs w:val="20"/>
        </w:rPr>
        <w:t>les travailleurs</w:t>
      </w:r>
    </w:p>
    <w:p>
      <w:pPr>
        <w:spacing w:after="120"/>
        <w:jc w:val="both"/>
        <w:rPr>
          <w:rFonts w:ascii="Calibri" w:hAnsi="Calibri" w:cs="Calibri"/>
          <w:sz w:val="20"/>
          <w:szCs w:val="20"/>
        </w:rPr>
      </w:pPr>
      <w:r>
        <w:rPr>
          <w:rFonts w:ascii="Calibri" w:hAnsi="Calibri" w:cs="Calibri"/>
          <w:sz w:val="20"/>
          <w:szCs w:val="20"/>
        </w:rPr>
        <w:t>Ne sont pas concernées par cette subvention les formations organisées à destination des élèves du dernier cycle de l’enseignement primaire et du 1</w:t>
      </w:r>
      <w:r>
        <w:rPr>
          <w:rFonts w:ascii="Calibri" w:hAnsi="Calibri" w:cs="Calibri"/>
          <w:sz w:val="20"/>
          <w:szCs w:val="20"/>
          <w:vertAlign w:val="superscript"/>
        </w:rPr>
        <w:t>er</w:t>
      </w:r>
      <w:r>
        <w:rPr>
          <w:rFonts w:ascii="Calibri" w:hAnsi="Calibri" w:cs="Calibri"/>
          <w:sz w:val="20"/>
          <w:szCs w:val="20"/>
        </w:rPr>
        <w:t xml:space="preserve"> degré de l’enseignement secondaire.</w:t>
      </w:r>
    </w:p>
    <w:p>
      <w:pPr>
        <w:numPr>
          <w:ilvl w:val="2"/>
          <w:numId w:val="55"/>
        </w:numPr>
        <w:tabs>
          <w:tab w:val="left" w:pos="709"/>
        </w:tabs>
        <w:spacing w:before="240" w:after="240"/>
        <w:ind w:left="709" w:hanging="709"/>
        <w:jc w:val="both"/>
        <w:rPr>
          <w:rFonts w:ascii="Calibri" w:hAnsi="Calibri" w:cs="Calibri"/>
          <w:b/>
          <w:sz w:val="28"/>
          <w:szCs w:val="28"/>
        </w:rPr>
      </w:pPr>
      <w:r>
        <w:rPr>
          <w:rFonts w:ascii="Calibri" w:hAnsi="Calibri" w:cs="Calibri"/>
          <w:b/>
          <w:sz w:val="28"/>
          <w:szCs w:val="28"/>
        </w:rPr>
        <w:t>Subvention pour les élèves internes</w:t>
      </w:r>
    </w:p>
    <w:p>
      <w:pPr>
        <w:spacing w:after="120"/>
        <w:jc w:val="both"/>
        <w:rPr>
          <w:rFonts w:ascii="Calibri" w:hAnsi="Calibri" w:cs="Calibri"/>
          <w:sz w:val="20"/>
          <w:szCs w:val="20"/>
        </w:rPr>
      </w:pPr>
      <w:r>
        <w:rPr>
          <w:rFonts w:ascii="Calibri" w:hAnsi="Calibri" w:cs="Calibri"/>
          <w:sz w:val="20"/>
          <w:szCs w:val="20"/>
        </w:rPr>
        <w:t xml:space="preserve">Afin de prévenir l’utilisation excessive du CTA par les élèves de l’école l’hébergeant et d’éviter que cette occupation ne constitue un frein à la fréquentation des CTA pour les utilisateurs extérieurs, la subvention pour frais de consommables sera </w:t>
      </w:r>
      <w:r>
        <w:rPr>
          <w:rFonts w:ascii="Calibri" w:hAnsi="Calibri" w:cs="Calibri"/>
          <w:b/>
          <w:sz w:val="20"/>
          <w:szCs w:val="20"/>
          <w:u w:val="single"/>
        </w:rPr>
        <w:t>plafonnée à un maximum de 26 jours</w:t>
      </w:r>
      <w:r>
        <w:rPr>
          <w:rFonts w:ascii="Calibri" w:hAnsi="Calibri" w:cs="Calibri"/>
          <w:sz w:val="20"/>
          <w:szCs w:val="20"/>
        </w:rPr>
        <w:t xml:space="preserve"> de formation annuels pour les élèves internes.</w:t>
      </w:r>
    </w:p>
    <w:p>
      <w:pPr>
        <w:numPr>
          <w:ilvl w:val="2"/>
          <w:numId w:val="55"/>
        </w:numPr>
        <w:tabs>
          <w:tab w:val="left" w:pos="709"/>
        </w:tabs>
        <w:spacing w:before="240" w:after="240"/>
        <w:ind w:left="709" w:hanging="709"/>
        <w:jc w:val="both"/>
        <w:rPr>
          <w:rFonts w:ascii="Calibri" w:hAnsi="Calibri" w:cs="Calibri"/>
          <w:b/>
          <w:sz w:val="28"/>
          <w:szCs w:val="28"/>
        </w:rPr>
      </w:pPr>
      <w:r>
        <w:rPr>
          <w:rFonts w:ascii="Calibri" w:hAnsi="Calibri" w:cs="Calibri"/>
          <w:b/>
          <w:sz w:val="28"/>
          <w:szCs w:val="28"/>
        </w:rPr>
        <w:t>Justification de la consommation de la subvention</w:t>
      </w:r>
    </w:p>
    <w:p>
      <w:pPr>
        <w:spacing w:after="120"/>
        <w:jc w:val="both"/>
        <w:rPr>
          <w:rFonts w:ascii="Calibri" w:hAnsi="Calibri" w:cs="Calibri"/>
          <w:sz w:val="20"/>
          <w:szCs w:val="20"/>
        </w:rPr>
      </w:pPr>
      <w:r>
        <w:rPr>
          <w:rFonts w:ascii="Calibri" w:hAnsi="Calibri" w:cs="Calibri"/>
          <w:sz w:val="20"/>
          <w:szCs w:val="20"/>
        </w:rPr>
        <w:t>La subvention pour frais de consommables doit être justifiée par les fréquentations. Pour cela, les centres sont tenus d’envoyer à l’administration les formulaires d’encodage et les dossiers justificatifs y afférents (voir point 6.7).</w:t>
      </w:r>
    </w:p>
    <w:p>
      <w:pPr>
        <w:spacing w:after="120"/>
        <w:jc w:val="both"/>
        <w:rPr>
          <w:rFonts w:ascii="Calibri" w:hAnsi="Calibri" w:cs="Calibri"/>
          <w:sz w:val="20"/>
          <w:szCs w:val="20"/>
        </w:rPr>
      </w:pPr>
      <w:r>
        <w:rPr>
          <w:rFonts w:ascii="Calibri" w:hAnsi="Calibri" w:cs="Calibri"/>
          <w:sz w:val="20"/>
          <w:szCs w:val="20"/>
        </w:rPr>
        <w:t xml:space="preserve">L’ensemble des documents justificatifs doit parvenir à l’administration une fois la formation terminée, et au plus tard pour le 31 janvier de l’année suivante. </w:t>
      </w:r>
    </w:p>
    <w:p>
      <w:pPr>
        <w:rPr>
          <w:rFonts w:ascii="Calibri" w:hAnsi="Calibri" w:cs="Calibri"/>
          <w:b/>
          <w:smallCaps/>
          <w:sz w:val="32"/>
          <w:szCs w:val="32"/>
        </w:rPr>
      </w:pPr>
      <w:r>
        <w:rPr>
          <w:rFonts w:ascii="Calibri" w:hAnsi="Calibri" w:cs="Calibri"/>
          <w:b/>
          <w:smallCaps/>
          <w:sz w:val="32"/>
          <w:szCs w:val="32"/>
        </w:rPr>
        <w:br w:type="page"/>
      </w:r>
    </w:p>
    <w:p>
      <w:pPr>
        <w:numPr>
          <w:ilvl w:val="1"/>
          <w:numId w:val="55"/>
        </w:numPr>
        <w:spacing w:before="240" w:after="240"/>
        <w:ind w:left="567" w:hanging="567"/>
        <w:jc w:val="both"/>
        <w:rPr>
          <w:rFonts w:ascii="Calibri" w:hAnsi="Calibri" w:cs="Calibri"/>
          <w:b/>
          <w:smallCaps/>
          <w:sz w:val="32"/>
          <w:szCs w:val="32"/>
        </w:rPr>
      </w:pPr>
      <w:r>
        <w:rPr>
          <w:rFonts w:ascii="Calibri" w:hAnsi="Calibri" w:cs="Calibri"/>
          <w:b/>
          <w:smallCaps/>
          <w:sz w:val="32"/>
          <w:szCs w:val="32"/>
        </w:rPr>
        <w:lastRenderedPageBreak/>
        <w:t>Octroi de subventions aux CTA dans leur première année de fonctionnement</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Lors de leur première année de fonctionnement, les CTA ne reçoivent aucune subvention pour frais de consommables. Par contre, ils reçoivent une part de la subvention pour frais de fonctionnement. Celle-ci est calculée au prorata du nombre de mois d’ouverture au cours de la première année de fonctionnement.</w:t>
      </w:r>
    </w:p>
    <w:p>
      <w:pPr>
        <w:autoSpaceDE w:val="0"/>
        <w:autoSpaceDN w:val="0"/>
        <w:adjustRightInd w:val="0"/>
        <w:spacing w:after="120"/>
        <w:jc w:val="both"/>
        <w:rPr>
          <w:rFonts w:ascii="Calibri" w:hAnsi="Calibri" w:cs="Calibri"/>
          <w:sz w:val="20"/>
          <w:szCs w:val="20"/>
        </w:rPr>
      </w:pPr>
      <w:r>
        <w:rPr>
          <w:rFonts w:ascii="Calibri" w:hAnsi="Calibri" w:cs="Calibri"/>
          <w:sz w:val="20"/>
          <w:szCs w:val="20"/>
        </w:rPr>
        <w:t>Ces modalités pouvant poser problème pour les CTA qui inaugureraient en début d’année civile et qui devraient dès lors fonctionner toute une année sans subvention de consommables, une note sera adressée à l’administration avec une prévision des dépenses pour l’année à venir et du nombre de formations organisées afin de solliciter des fonds supplémentaires. Cette demande doit être introduite auprès de l’administration au plus tard pour le 30 septembre de l’année d’ouverture.</w:t>
      </w:r>
    </w:p>
    <w:p>
      <w:pPr>
        <w:numPr>
          <w:ilvl w:val="1"/>
          <w:numId w:val="55"/>
        </w:numPr>
        <w:spacing w:before="240" w:after="240"/>
        <w:ind w:left="567" w:hanging="567"/>
        <w:jc w:val="both"/>
        <w:rPr>
          <w:rFonts w:ascii="Calibri" w:hAnsi="Calibri" w:cs="Calibri"/>
          <w:b/>
          <w:smallCaps/>
          <w:sz w:val="32"/>
          <w:szCs w:val="32"/>
        </w:rPr>
      </w:pPr>
      <w:r>
        <w:rPr>
          <w:rFonts w:ascii="Calibri" w:hAnsi="Calibri" w:cs="Calibri"/>
          <w:b/>
          <w:smallCaps/>
          <w:sz w:val="32"/>
          <w:szCs w:val="32"/>
        </w:rPr>
        <w:t>Versement des subventions</w:t>
      </w:r>
    </w:p>
    <w:p>
      <w:pPr>
        <w:spacing w:after="120"/>
        <w:jc w:val="both"/>
        <w:rPr>
          <w:rFonts w:ascii="Calibri" w:hAnsi="Calibri" w:cs="Calibri"/>
          <w:sz w:val="20"/>
          <w:szCs w:val="20"/>
        </w:rPr>
      </w:pPr>
      <w:r>
        <w:rPr>
          <w:rFonts w:ascii="Calibri" w:hAnsi="Calibri" w:cs="Calibri"/>
          <w:sz w:val="20"/>
          <w:szCs w:val="20"/>
        </w:rPr>
        <w:t>La subvention pour frais de fonctionnement est libérée en totalité une fois par an. Par contre, celle pour frais de consommables est versée en plusieurs tranches. Plusieurs tranches pourront être liquidées en même temps.</w:t>
      </w:r>
    </w:p>
    <w:p>
      <w:pPr>
        <w:spacing w:after="120"/>
        <w:jc w:val="both"/>
        <w:rPr>
          <w:rFonts w:ascii="Calibri" w:hAnsi="Calibri" w:cs="Calibri"/>
          <w:sz w:val="20"/>
          <w:szCs w:val="20"/>
        </w:rPr>
      </w:pPr>
      <w:r>
        <w:rPr>
          <w:rFonts w:ascii="Calibri" w:hAnsi="Calibri" w:cs="Calibri"/>
          <w:sz w:val="20"/>
          <w:szCs w:val="20"/>
        </w:rPr>
        <w:t xml:space="preserve">Le solde est libéré sur présentation des pièces justificatives (cf. point 8.2.4) et est conditionné à l’envoi du rapport d’activités annuel (cf. point 9). </w:t>
      </w:r>
    </w:p>
    <w:p>
      <w:pPr>
        <w:spacing w:after="120"/>
        <w:jc w:val="both"/>
        <w:rPr>
          <w:rFonts w:ascii="Calibri" w:hAnsi="Calibri" w:cs="Calibri"/>
          <w:sz w:val="20"/>
          <w:szCs w:val="20"/>
        </w:rPr>
      </w:pPr>
      <w:r>
        <w:rPr>
          <w:rFonts w:ascii="Calibri" w:hAnsi="Calibri" w:cs="Calibri"/>
          <w:sz w:val="20"/>
          <w:szCs w:val="20"/>
        </w:rPr>
        <w:t>En cas de solde disponible, et dans les limites de l’engagement comptable pris, les services du Gouvernement sont autorisés à redistribuer le solde non consommé des subventions consommables aux CTA qui auraient enregistrés des fréquentations supérieures aux estimations initialement calculées.</w:t>
      </w:r>
    </w:p>
    <w:p>
      <w:pPr>
        <w:numPr>
          <w:ilvl w:val="1"/>
          <w:numId w:val="55"/>
        </w:numPr>
        <w:spacing w:before="240" w:after="240"/>
        <w:ind w:left="567" w:hanging="567"/>
        <w:jc w:val="both"/>
        <w:rPr>
          <w:rFonts w:ascii="Calibri" w:hAnsi="Calibri" w:cs="Calibri"/>
          <w:b/>
          <w:smallCaps/>
          <w:sz w:val="32"/>
          <w:szCs w:val="32"/>
        </w:rPr>
      </w:pPr>
      <w:r>
        <w:rPr>
          <w:rFonts w:ascii="Calibri" w:hAnsi="Calibri" w:cs="Calibri"/>
          <w:b/>
          <w:smallCaps/>
          <w:sz w:val="32"/>
          <w:szCs w:val="32"/>
        </w:rPr>
        <w:t>Gestion administrative et financière des CTA</w:t>
      </w:r>
    </w:p>
    <w:p>
      <w:pPr>
        <w:spacing w:after="120"/>
        <w:jc w:val="both"/>
        <w:rPr>
          <w:rFonts w:ascii="Calibri" w:hAnsi="Calibri" w:cs="Calibri"/>
          <w:sz w:val="20"/>
          <w:szCs w:val="20"/>
        </w:rPr>
      </w:pPr>
      <w:r>
        <w:rPr>
          <w:rFonts w:ascii="Calibri" w:hAnsi="Calibri" w:cs="Calibri"/>
          <w:sz w:val="20"/>
          <w:szCs w:val="20"/>
        </w:rPr>
        <w:t>Comme prévu à l’article 9, § 1</w:t>
      </w:r>
      <w:r>
        <w:rPr>
          <w:rFonts w:ascii="Calibri" w:hAnsi="Calibri" w:cs="Calibri"/>
          <w:sz w:val="20"/>
          <w:szCs w:val="20"/>
          <w:vertAlign w:val="superscript"/>
        </w:rPr>
        <w:t>er</w:t>
      </w:r>
      <w:r>
        <w:rPr>
          <w:rFonts w:ascii="Calibri" w:hAnsi="Calibri" w:cs="Calibri"/>
          <w:sz w:val="20"/>
          <w:szCs w:val="20"/>
        </w:rPr>
        <w:t xml:space="preserve"> du décret du 11 avril 2017, la Fédération Wallonie-Bruxelles a désigné trois chargés de mission pour assurer la gestion des dossiers administratifs et financiers des CTA.</w:t>
      </w:r>
    </w:p>
    <w:p>
      <w:pPr>
        <w:numPr>
          <w:ilvl w:val="0"/>
          <w:numId w:val="2"/>
        </w:numPr>
        <w:tabs>
          <w:tab w:val="clear" w:pos="720"/>
          <w:tab w:val="num" w:pos="540"/>
        </w:tabs>
        <w:spacing w:before="360" w:after="360"/>
        <w:ind w:left="567" w:hanging="567"/>
        <w:jc w:val="both"/>
        <w:rPr>
          <w:rFonts w:ascii="Calibri" w:hAnsi="Calibri" w:cs="Calibri"/>
          <w:b/>
          <w:smallCaps/>
          <w:sz w:val="40"/>
          <w:szCs w:val="40"/>
          <w:u w:val="single"/>
        </w:rPr>
      </w:pPr>
      <w:r>
        <w:rPr>
          <w:rFonts w:ascii="Calibri" w:hAnsi="Calibri" w:cs="Calibri"/>
          <w:b/>
          <w:smallCaps/>
          <w:sz w:val="40"/>
          <w:szCs w:val="40"/>
          <w:u w:val="single"/>
        </w:rPr>
        <w:t>Rapport d’activités</w:t>
      </w:r>
    </w:p>
    <w:p>
      <w:pPr>
        <w:spacing w:after="120"/>
        <w:jc w:val="both"/>
        <w:rPr>
          <w:rFonts w:ascii="Calibri" w:hAnsi="Calibri" w:cs="Calibri"/>
          <w:sz w:val="20"/>
          <w:szCs w:val="20"/>
        </w:rPr>
      </w:pPr>
      <w:r>
        <w:rPr>
          <w:rFonts w:ascii="Calibri" w:hAnsi="Calibri" w:cs="Calibri"/>
          <w:sz w:val="20"/>
          <w:szCs w:val="20"/>
        </w:rPr>
        <w:t xml:space="preserve">Un rapport d’activités par année civile doit être envoyé à l’administration au terme de </w:t>
      </w:r>
      <w:r>
        <w:rPr>
          <w:rFonts w:ascii="Calibri" w:hAnsi="Calibri" w:cs="Calibri"/>
          <w:b/>
          <w:sz w:val="20"/>
          <w:szCs w:val="20"/>
          <w:u w:val="single"/>
        </w:rPr>
        <w:t>chaque année d’activité et au plus tard le 31 mars</w:t>
      </w:r>
      <w:r>
        <w:rPr>
          <w:rFonts w:ascii="Calibri" w:hAnsi="Calibri" w:cs="Calibri"/>
          <w:sz w:val="20"/>
          <w:szCs w:val="20"/>
        </w:rPr>
        <w:t>. Il aura été préalablement approuvé par le Comité d’accompagnement du CTA lors d’une réunion ou par le biais d’une procédure écrite.</w:t>
      </w:r>
    </w:p>
    <w:p>
      <w:pPr>
        <w:spacing w:after="120"/>
        <w:jc w:val="both"/>
        <w:rPr>
          <w:rFonts w:ascii="Calibri" w:hAnsi="Calibri" w:cs="Calibri"/>
          <w:sz w:val="20"/>
          <w:szCs w:val="20"/>
        </w:rPr>
      </w:pPr>
      <w:r>
        <w:rPr>
          <w:rFonts w:ascii="Calibri" w:hAnsi="Calibri" w:cs="Calibri"/>
          <w:sz w:val="20"/>
          <w:szCs w:val="20"/>
        </w:rPr>
        <w:t xml:space="preserve">Ce rapport doit se conformer au modèle repris en </w:t>
      </w:r>
      <w:r>
        <w:rPr>
          <w:rFonts w:ascii="Calibri" w:hAnsi="Calibri" w:cs="Calibri"/>
          <w:b/>
          <w:sz w:val="20"/>
          <w:szCs w:val="20"/>
          <w:u w:val="single"/>
        </w:rPr>
        <w:t>annexe 15</w:t>
      </w:r>
      <w:r>
        <w:rPr>
          <w:rFonts w:ascii="Calibri" w:hAnsi="Calibri" w:cs="Calibri"/>
          <w:sz w:val="20"/>
          <w:szCs w:val="20"/>
        </w:rPr>
        <w:t xml:space="preserve">. Il comprend deux parties : </w:t>
      </w:r>
    </w:p>
    <w:p>
      <w:pPr>
        <w:numPr>
          <w:ilvl w:val="0"/>
          <w:numId w:val="42"/>
        </w:numPr>
        <w:spacing w:after="120"/>
        <w:jc w:val="both"/>
        <w:rPr>
          <w:rFonts w:ascii="Calibri" w:hAnsi="Calibri" w:cs="Calibri"/>
          <w:sz w:val="20"/>
          <w:szCs w:val="20"/>
        </w:rPr>
      </w:pPr>
      <w:r>
        <w:rPr>
          <w:rFonts w:ascii="Calibri" w:hAnsi="Calibri" w:cs="Calibri"/>
          <w:sz w:val="20"/>
          <w:szCs w:val="20"/>
        </w:rPr>
        <w:t xml:space="preserve">La </w:t>
      </w:r>
      <w:r>
        <w:rPr>
          <w:rFonts w:ascii="Calibri" w:hAnsi="Calibri" w:cs="Calibri"/>
          <w:b/>
          <w:sz w:val="20"/>
          <w:szCs w:val="20"/>
        </w:rPr>
        <w:t>partie quantitative</w:t>
      </w:r>
      <w:r>
        <w:rPr>
          <w:rFonts w:ascii="Calibri" w:hAnsi="Calibri" w:cs="Calibri"/>
          <w:sz w:val="20"/>
          <w:szCs w:val="20"/>
        </w:rPr>
        <w:t xml:space="preserve"> reprend les chiffres de fréquentation annuelle des différents publics-cibles. Ce rapport quantitatif est envoyé par l’administration à chaque centre au plus tard le 28 février. Il reprend l’ensemble des données de fréquentation envoyées par le biais des formulaires d’encodage.</w:t>
      </w:r>
    </w:p>
    <w:p>
      <w:pPr>
        <w:numPr>
          <w:ilvl w:val="0"/>
          <w:numId w:val="42"/>
        </w:numPr>
        <w:spacing w:after="120"/>
        <w:ind w:left="714" w:hanging="357"/>
        <w:jc w:val="both"/>
        <w:rPr>
          <w:rFonts w:ascii="Calibri" w:hAnsi="Calibri" w:cs="Calibri"/>
          <w:sz w:val="20"/>
          <w:szCs w:val="20"/>
        </w:rPr>
      </w:pPr>
      <w:r>
        <w:rPr>
          <w:rFonts w:ascii="Calibri" w:hAnsi="Calibri" w:cs="Calibri"/>
          <w:sz w:val="20"/>
          <w:szCs w:val="20"/>
        </w:rPr>
        <w:t xml:space="preserve">La partie qualitative reprend les éléments non chiffrés utiles à l’analyse des performances du CTA (difficultés rencontrées, formations et collaborations mises en place dans l’année, etc.). Il comprend notamment une description des démarches de sollicitation à l’égard des autres établissements, mais aussi de tous les faits justifiant des différences de fréquentation avec les années antérieures (nouveaux publics accueillis, fin de collaboration avec certains opérateurs, etc.). Il y est également demandé de joindre un exemplaire de chaque support promotionnel utilisé au cours de l’année. </w:t>
      </w:r>
    </w:p>
    <w:p>
      <w:pPr>
        <w:rPr>
          <w:rFonts w:ascii="Calibri" w:hAnsi="Calibri" w:cs="Calibri"/>
          <w:b/>
          <w:sz w:val="36"/>
          <w:szCs w:val="36"/>
          <w:u w:val="single"/>
        </w:rPr>
      </w:pPr>
      <w:r>
        <w:rPr>
          <w:rFonts w:ascii="Calibri" w:hAnsi="Calibri" w:cs="Calibri"/>
          <w:b/>
          <w:sz w:val="36"/>
          <w:szCs w:val="36"/>
          <w:u w:val="single"/>
        </w:rPr>
        <w:br w:type="page"/>
      </w:r>
    </w:p>
    <w:p>
      <w:pPr>
        <w:numPr>
          <w:ilvl w:val="0"/>
          <w:numId w:val="2"/>
        </w:numPr>
        <w:tabs>
          <w:tab w:val="clear" w:pos="720"/>
          <w:tab w:val="num" w:pos="540"/>
        </w:tabs>
        <w:spacing w:before="360" w:after="360"/>
        <w:ind w:left="567" w:hanging="567"/>
        <w:jc w:val="both"/>
        <w:rPr>
          <w:rFonts w:ascii="Calibri" w:hAnsi="Calibri" w:cs="Calibri"/>
          <w:b/>
          <w:smallCaps/>
          <w:sz w:val="40"/>
          <w:szCs w:val="40"/>
          <w:u w:val="single"/>
        </w:rPr>
      </w:pPr>
      <w:r>
        <w:rPr>
          <w:rFonts w:ascii="Calibri" w:hAnsi="Calibri" w:cs="Calibri"/>
          <w:b/>
          <w:smallCaps/>
          <w:sz w:val="40"/>
          <w:szCs w:val="40"/>
          <w:u w:val="single"/>
        </w:rPr>
        <w:lastRenderedPageBreak/>
        <w:t>Equipements pédagogiques des CTA</w:t>
      </w:r>
    </w:p>
    <w:p>
      <w:pPr>
        <w:numPr>
          <w:ilvl w:val="1"/>
          <w:numId w:val="56"/>
        </w:numPr>
        <w:spacing w:before="240" w:after="240"/>
        <w:ind w:left="709" w:hanging="709"/>
        <w:jc w:val="both"/>
        <w:rPr>
          <w:rFonts w:ascii="Calibri" w:hAnsi="Calibri" w:cs="Calibri"/>
          <w:b/>
          <w:smallCaps/>
          <w:sz w:val="32"/>
          <w:szCs w:val="32"/>
        </w:rPr>
      </w:pPr>
      <w:r>
        <w:rPr>
          <w:rFonts w:ascii="Calibri" w:hAnsi="Calibri" w:cs="Calibri"/>
          <w:b/>
          <w:smallCaps/>
          <w:sz w:val="32"/>
          <w:szCs w:val="32"/>
        </w:rPr>
        <w:t>Financement et propriété des équipements</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Pour les équipements acquis avant le 1</w:t>
      </w:r>
      <w:r>
        <w:rPr>
          <w:rFonts w:ascii="Calibri" w:hAnsi="Calibri" w:cs="Calibri"/>
          <w:b/>
          <w:sz w:val="28"/>
          <w:szCs w:val="28"/>
          <w:vertAlign w:val="superscript"/>
        </w:rPr>
        <w:t>er</w:t>
      </w:r>
      <w:r>
        <w:rPr>
          <w:rFonts w:ascii="Calibri" w:hAnsi="Calibri" w:cs="Calibri"/>
          <w:b/>
          <w:sz w:val="28"/>
          <w:szCs w:val="28"/>
        </w:rPr>
        <w:t xml:space="preserve"> janvier 2014</w:t>
      </w:r>
    </w:p>
    <w:p>
      <w:pPr>
        <w:pStyle w:val="Paragraphedeliste"/>
        <w:numPr>
          <w:ilvl w:val="3"/>
          <w:numId w:val="56"/>
        </w:numPr>
        <w:tabs>
          <w:tab w:val="left" w:pos="993"/>
        </w:tabs>
        <w:spacing w:after="120"/>
        <w:ind w:left="993" w:hanging="993"/>
        <w:jc w:val="both"/>
        <w:rPr>
          <w:rFonts w:ascii="Calibri" w:hAnsi="Calibri" w:cs="Calibri"/>
          <w:i/>
          <w:u w:val="single"/>
        </w:rPr>
      </w:pPr>
      <w:r>
        <w:rPr>
          <w:rFonts w:ascii="Calibri" w:hAnsi="Calibri" w:cs="Calibri"/>
          <w:i/>
          <w:u w:val="single"/>
        </w:rPr>
        <w:t>Région wallonne</w:t>
      </w:r>
    </w:p>
    <w:p>
      <w:pPr>
        <w:spacing w:after="120"/>
        <w:jc w:val="both"/>
        <w:rPr>
          <w:rFonts w:ascii="Calibri" w:hAnsi="Calibri" w:cs="Calibri"/>
          <w:sz w:val="20"/>
          <w:szCs w:val="20"/>
        </w:rPr>
      </w:pPr>
      <w:r>
        <w:rPr>
          <w:rFonts w:ascii="Calibri" w:hAnsi="Calibri" w:cs="Calibri"/>
          <w:sz w:val="20"/>
          <w:szCs w:val="20"/>
        </w:rPr>
        <w:t>Les équipements pédagogiques mis à disposition des CTA wallons sont financés à 50 % par la Fédération Wallonie-Bruxelles et à 50 % par l’Union européenne, au travers du Fonds européen de Développement régional (FEDER). Tous ces équipements restent la propriété de la Fédération Wallonie-Bruxelles et sont confiés aux centres via une convention de mise à disposition qui fixe les modalités du prêt et les engagements des parties.</w:t>
      </w:r>
    </w:p>
    <w:p>
      <w:pPr>
        <w:spacing w:after="120"/>
        <w:jc w:val="both"/>
        <w:rPr>
          <w:rFonts w:ascii="Calibri" w:hAnsi="Calibri" w:cs="Calibri"/>
          <w:sz w:val="20"/>
          <w:szCs w:val="20"/>
        </w:rPr>
      </w:pPr>
      <w:r>
        <w:rPr>
          <w:rFonts w:ascii="Calibri" w:hAnsi="Calibri" w:cs="Calibri"/>
          <w:sz w:val="20"/>
          <w:szCs w:val="20"/>
        </w:rPr>
        <w:t>En cas de perte du label CTA, l’établissement scolaire s’engage, via cette convention, à rembourser le montant des aménagements réalisés et des équipements mis à disposition par la Fédération Wallonie-Bruxelles au prorata de la valeur résiduelle qu’auraient ces aménagements dans de bonnes conditions d’entretien au moment où le constat du manquement lui est notifié.</w:t>
      </w:r>
    </w:p>
    <w:p>
      <w:pPr>
        <w:pStyle w:val="Paragraphedeliste"/>
        <w:numPr>
          <w:ilvl w:val="3"/>
          <w:numId w:val="56"/>
        </w:numPr>
        <w:tabs>
          <w:tab w:val="left" w:pos="993"/>
        </w:tabs>
        <w:spacing w:after="120"/>
        <w:ind w:left="993" w:hanging="993"/>
        <w:jc w:val="both"/>
        <w:rPr>
          <w:rFonts w:ascii="Calibri" w:hAnsi="Calibri" w:cs="Calibri"/>
          <w:i/>
          <w:u w:val="single"/>
        </w:rPr>
      </w:pPr>
      <w:r>
        <w:rPr>
          <w:rFonts w:ascii="Calibri" w:hAnsi="Calibri" w:cs="Calibri"/>
          <w:i/>
          <w:u w:val="single"/>
        </w:rPr>
        <w:t>Région de Bruxelles-Capitale</w:t>
      </w:r>
    </w:p>
    <w:p>
      <w:pPr>
        <w:spacing w:after="120"/>
        <w:jc w:val="both"/>
        <w:rPr>
          <w:rFonts w:ascii="Calibri" w:hAnsi="Calibri" w:cs="Calibri"/>
          <w:sz w:val="20"/>
          <w:szCs w:val="20"/>
        </w:rPr>
      </w:pPr>
      <w:r>
        <w:rPr>
          <w:rFonts w:ascii="Calibri" w:hAnsi="Calibri" w:cs="Calibri"/>
          <w:sz w:val="20"/>
          <w:szCs w:val="20"/>
        </w:rPr>
        <w:t>A l’exception du CTA accueilli au sein de l’Institut Emile Gryzon d’Anderlecht</w:t>
      </w:r>
      <w:r>
        <w:rPr>
          <w:rStyle w:val="Appelnotedebasdep"/>
          <w:rFonts w:ascii="Calibri" w:hAnsi="Calibri" w:cs="Calibri"/>
          <w:sz w:val="20"/>
          <w:szCs w:val="20"/>
        </w:rPr>
        <w:footnoteReference w:id="3"/>
      </w:r>
      <w:r>
        <w:rPr>
          <w:rFonts w:ascii="Calibri" w:hAnsi="Calibri" w:cs="Calibri"/>
          <w:sz w:val="20"/>
          <w:szCs w:val="20"/>
        </w:rPr>
        <w:t>, les équipements pédagogiques acquis par les CTA bruxellois sont financés à 50 % par la Fédération Wallonie-Bruxelles et à 50 % par l’Union européenne, au travers du Fonds européen de Développement régional (FEDER). Tous ces équipements restent la propriété de l’établissement au sein duquel ces centres sont accueillis.</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Pour les équipements acquis après le 1</w:t>
      </w:r>
      <w:r>
        <w:rPr>
          <w:rFonts w:ascii="Calibri" w:hAnsi="Calibri" w:cs="Calibri"/>
          <w:b/>
          <w:sz w:val="28"/>
          <w:szCs w:val="28"/>
          <w:vertAlign w:val="superscript"/>
        </w:rPr>
        <w:t>er</w:t>
      </w:r>
      <w:r>
        <w:rPr>
          <w:rFonts w:ascii="Calibri" w:hAnsi="Calibri" w:cs="Calibri"/>
          <w:b/>
          <w:sz w:val="28"/>
          <w:szCs w:val="28"/>
        </w:rPr>
        <w:t xml:space="preserve"> janvier 2014</w:t>
      </w:r>
    </w:p>
    <w:p>
      <w:pPr>
        <w:spacing w:after="120"/>
        <w:jc w:val="both"/>
        <w:rPr>
          <w:rFonts w:ascii="Calibri" w:hAnsi="Calibri" w:cs="Calibri"/>
          <w:sz w:val="20"/>
          <w:szCs w:val="20"/>
        </w:rPr>
      </w:pPr>
      <w:r>
        <w:rPr>
          <w:rFonts w:ascii="Calibri" w:hAnsi="Calibri" w:cs="Calibri"/>
          <w:sz w:val="20"/>
          <w:szCs w:val="20"/>
        </w:rPr>
        <w:t>La nouvelle législation entrée en vigueur le 1</w:t>
      </w:r>
      <w:r>
        <w:rPr>
          <w:rFonts w:ascii="Calibri" w:hAnsi="Calibri" w:cs="Calibri"/>
          <w:sz w:val="20"/>
          <w:szCs w:val="20"/>
          <w:vertAlign w:val="superscript"/>
        </w:rPr>
        <w:t>er</w:t>
      </w:r>
      <w:r>
        <w:rPr>
          <w:rFonts w:ascii="Calibri" w:hAnsi="Calibri" w:cs="Calibri"/>
          <w:sz w:val="20"/>
          <w:szCs w:val="20"/>
        </w:rPr>
        <w:t xml:space="preserve"> janvier 2014 prévoit que la Fédération Wallonie-Bruxelles met à disposition des CTA, qu’ils soient situés en Région wallonne ou en Région de Bruxelles-Capitale, des équipements dans le cadre de leur mission et que ceux-ci restent la propriété de la Fédération Wallonie-Bruxelles. Ce matériel leur est confié via une convention de mise à disposition, qui fixe les modalités du prêt et les engagements des parties.</w:t>
      </w:r>
    </w:p>
    <w:p>
      <w:pPr>
        <w:spacing w:after="120"/>
        <w:jc w:val="both"/>
        <w:rPr>
          <w:rFonts w:ascii="Calibri" w:hAnsi="Calibri" w:cs="Calibri"/>
          <w:sz w:val="20"/>
          <w:szCs w:val="20"/>
        </w:rPr>
      </w:pPr>
      <w:r>
        <w:rPr>
          <w:rFonts w:ascii="Calibri" w:hAnsi="Calibri" w:cs="Calibri"/>
          <w:sz w:val="20"/>
          <w:szCs w:val="20"/>
        </w:rPr>
        <w:t>En cas de perte du label CTA, l’établissement scolaire s’engage, via cette convention, à rembourser le montant des aménagements réalisés et les équipements mis à disposition par la Fédération Wallonie-Bruxelles au prorata de la valeur résiduelle qu’auraient ces aménagements dans de bonnes conditions d’entretien au moment où le constat du manquement lui est notifié.</w:t>
      </w:r>
    </w:p>
    <w:p>
      <w:pPr>
        <w:numPr>
          <w:ilvl w:val="1"/>
          <w:numId w:val="56"/>
        </w:numPr>
        <w:spacing w:before="240" w:after="240"/>
        <w:ind w:left="709"/>
        <w:jc w:val="both"/>
        <w:rPr>
          <w:rFonts w:ascii="Calibri" w:hAnsi="Calibri" w:cs="Calibri"/>
          <w:b/>
          <w:smallCaps/>
          <w:sz w:val="32"/>
          <w:szCs w:val="32"/>
        </w:rPr>
      </w:pPr>
      <w:r>
        <w:rPr>
          <w:rFonts w:ascii="Calibri" w:hAnsi="Calibri" w:cs="Calibri"/>
          <w:b/>
          <w:smallCaps/>
          <w:sz w:val="32"/>
          <w:szCs w:val="32"/>
        </w:rPr>
        <w:t>Acquisition de nouveau matériel</w:t>
      </w:r>
    </w:p>
    <w:p>
      <w:pPr>
        <w:spacing w:after="120"/>
        <w:jc w:val="both"/>
        <w:rPr>
          <w:rFonts w:ascii="Calibri" w:hAnsi="Calibri" w:cs="Calibri"/>
          <w:sz w:val="20"/>
          <w:szCs w:val="20"/>
        </w:rPr>
      </w:pPr>
      <w:r>
        <w:rPr>
          <w:rFonts w:ascii="Calibri" w:hAnsi="Calibri" w:cs="Calibri"/>
          <w:sz w:val="20"/>
          <w:szCs w:val="20"/>
        </w:rPr>
        <w:t xml:space="preserve">Depuis l’entrée en vigueur de la nouvelle législation, les CTA qui souhaiteraient acquérir de nouveaux équipements doivent désormais répondre à l’appel à projets annuel du Fonds d’équipement. </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Plan d’investissement</w:t>
      </w:r>
    </w:p>
    <w:p>
      <w:pPr>
        <w:spacing w:after="120"/>
        <w:jc w:val="both"/>
        <w:rPr>
          <w:rFonts w:ascii="Calibri" w:hAnsi="Calibri" w:cs="Calibri"/>
          <w:sz w:val="20"/>
          <w:szCs w:val="20"/>
        </w:rPr>
      </w:pPr>
      <w:r>
        <w:rPr>
          <w:rFonts w:ascii="Calibri" w:hAnsi="Calibri" w:cs="Calibri"/>
          <w:sz w:val="20"/>
          <w:szCs w:val="20"/>
        </w:rPr>
        <w:t xml:space="preserve">Le décret du 11 avril 2014 prévoit un budget annuel pour la modernisation des équipements pédagogiques de l’enseignement qualifiant, tant pour les Centres de Technologies Avancées que pour les établissements scolaires organisant des options dans les filières qualifiantes. En outre, des financements européens ont été octroyés au dispositif dans le cadre de la programmation 2014-2020 afin d’investir dans la formation initiale des jeunes et permettre ainsi un investissement accru dans les infrastructures scolaires. Afin de pouvoir répartir ces investissements au mieux, les CTA ont été sollicités en 2015 en vue de rentrer auprès de l’administration un </w:t>
      </w:r>
      <w:r>
        <w:rPr>
          <w:rFonts w:ascii="Calibri" w:hAnsi="Calibri" w:cs="Calibri"/>
          <w:b/>
          <w:sz w:val="20"/>
          <w:szCs w:val="20"/>
          <w:u w:val="single"/>
        </w:rPr>
        <w:t>Plan d’Investissement</w:t>
      </w:r>
      <w:r>
        <w:rPr>
          <w:rFonts w:ascii="Calibri" w:hAnsi="Calibri" w:cs="Calibri"/>
          <w:sz w:val="20"/>
          <w:szCs w:val="20"/>
        </w:rPr>
        <w:t xml:space="preserve"> des équipements qu’ils souhaitaient acquérir pour les années 2015 à 2020.</w:t>
      </w:r>
    </w:p>
    <w:p>
      <w:pPr>
        <w:spacing w:after="120"/>
        <w:jc w:val="both"/>
        <w:rPr>
          <w:rFonts w:ascii="Calibri" w:hAnsi="Calibri" w:cs="Calibri"/>
          <w:sz w:val="20"/>
          <w:szCs w:val="20"/>
        </w:rPr>
      </w:pPr>
      <w:r>
        <w:rPr>
          <w:rFonts w:ascii="Calibri" w:hAnsi="Calibri" w:cs="Calibri"/>
          <w:sz w:val="20"/>
          <w:szCs w:val="20"/>
        </w:rPr>
        <w:lastRenderedPageBreak/>
        <w:t xml:space="preserve">Ce plan, élaboré en concertation avec le chargé de mission CTA de l’administration, a ensuite été soumis aux conseillers et/ou inspecteurs pédagogiques en poste au sein du réseau ou pouvoir organisateur et </w:t>
      </w:r>
      <w:r>
        <w:rPr>
          <w:rFonts w:ascii="Calibri" w:hAnsi="Calibri" w:cs="Calibri"/>
          <w:sz w:val="20"/>
          <w:szCs w:val="20"/>
          <w:u w:val="single"/>
        </w:rPr>
        <w:t>validé par le Comité d’accompagnement</w:t>
      </w:r>
      <w:r>
        <w:rPr>
          <w:rFonts w:ascii="Calibri" w:hAnsi="Calibri" w:cs="Calibri"/>
          <w:sz w:val="20"/>
          <w:szCs w:val="20"/>
        </w:rPr>
        <w:t xml:space="preserve"> du CTA, qui aura veillé à son adéquation avec la fiche-projet initiale du centre.</w:t>
      </w:r>
    </w:p>
    <w:p>
      <w:pPr>
        <w:spacing w:after="120"/>
        <w:jc w:val="both"/>
        <w:rPr>
          <w:rFonts w:ascii="Calibri" w:hAnsi="Calibri" w:cs="Calibri"/>
          <w:sz w:val="20"/>
          <w:szCs w:val="20"/>
        </w:rPr>
      </w:pPr>
      <w:r>
        <w:rPr>
          <w:rFonts w:ascii="Calibri" w:hAnsi="Calibri" w:cs="Calibri"/>
          <w:sz w:val="20"/>
          <w:szCs w:val="20"/>
        </w:rPr>
        <w:t>Les CTA ont alors introduit leur plan auprès de leur chargé de mission, qui se charge ensuite de répondre à l’appel à projets du Fonds d’équipement.</w:t>
      </w:r>
    </w:p>
    <w:p>
      <w:pPr>
        <w:spacing w:after="120"/>
        <w:jc w:val="both"/>
        <w:rPr>
          <w:rFonts w:ascii="Calibri" w:hAnsi="Calibri" w:cs="Calibri"/>
          <w:sz w:val="20"/>
          <w:szCs w:val="20"/>
        </w:rPr>
      </w:pPr>
      <w:r>
        <w:rPr>
          <w:rFonts w:ascii="Calibri" w:hAnsi="Calibri" w:cs="Calibri"/>
          <w:sz w:val="20"/>
          <w:szCs w:val="20"/>
        </w:rPr>
        <w:t>Afin de répondre au mieux aux progrès techniques et technologiques, ce plan d’investissement a été révisé par le biais de la parution de la circulaire n°6514 du 1</w:t>
      </w:r>
      <w:r>
        <w:rPr>
          <w:rFonts w:ascii="Calibri" w:hAnsi="Calibri" w:cs="Calibri"/>
          <w:sz w:val="20"/>
          <w:szCs w:val="20"/>
          <w:vertAlign w:val="superscript"/>
        </w:rPr>
        <w:t>er</w:t>
      </w:r>
      <w:r>
        <w:rPr>
          <w:rFonts w:ascii="Calibri" w:hAnsi="Calibri" w:cs="Calibri"/>
          <w:sz w:val="20"/>
          <w:szCs w:val="20"/>
        </w:rPr>
        <w:t xml:space="preserve"> février 2018 (pour les CTA wallons) et de la circulaire n°5611 du 12 février 2016 (pour les CTA bruxellois).</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Conduite des marchés publics d’acquisition</w:t>
      </w:r>
    </w:p>
    <w:p>
      <w:pPr>
        <w:spacing w:after="120"/>
        <w:jc w:val="both"/>
        <w:rPr>
          <w:rFonts w:ascii="Calibri" w:hAnsi="Calibri" w:cs="Calibri"/>
          <w:sz w:val="20"/>
          <w:szCs w:val="20"/>
        </w:rPr>
      </w:pPr>
      <w:r>
        <w:rPr>
          <w:rFonts w:ascii="Calibri" w:hAnsi="Calibri" w:cs="Calibri"/>
          <w:sz w:val="20"/>
          <w:szCs w:val="20"/>
        </w:rPr>
        <w:t>Tous les équipements CTA acquis depuis le 1</w:t>
      </w:r>
      <w:r>
        <w:rPr>
          <w:rFonts w:ascii="Calibri" w:hAnsi="Calibri" w:cs="Calibri"/>
          <w:sz w:val="20"/>
          <w:szCs w:val="20"/>
          <w:vertAlign w:val="superscript"/>
        </w:rPr>
        <w:t>er</w:t>
      </w:r>
      <w:r>
        <w:rPr>
          <w:rFonts w:ascii="Calibri" w:hAnsi="Calibri" w:cs="Calibri"/>
          <w:sz w:val="20"/>
          <w:szCs w:val="20"/>
        </w:rPr>
        <w:t xml:space="preserve"> janvier 2014 sont la propriété de la Fédération Wallonie-Bruxelles. Les trois chargés de mission CTA se chargent de passer les marchés d’acquisition </w:t>
      </w:r>
      <w:r>
        <w:rPr>
          <w:rFonts w:ascii="Calibri" w:hAnsi="Calibri" w:cs="Calibri"/>
          <w:b/>
          <w:sz w:val="20"/>
          <w:szCs w:val="20"/>
          <w:u w:val="single"/>
        </w:rPr>
        <w:t>en collaboration avec les coordonnateurs</w:t>
      </w:r>
      <w:r>
        <w:rPr>
          <w:rFonts w:ascii="Calibri" w:hAnsi="Calibri" w:cs="Calibri"/>
          <w:sz w:val="20"/>
          <w:szCs w:val="20"/>
        </w:rPr>
        <w:t xml:space="preserve">. </w:t>
      </w:r>
    </w:p>
    <w:p>
      <w:pPr>
        <w:spacing w:after="120"/>
        <w:jc w:val="both"/>
        <w:rPr>
          <w:rFonts w:ascii="Calibri" w:hAnsi="Calibri" w:cs="Calibri"/>
          <w:sz w:val="20"/>
          <w:szCs w:val="20"/>
        </w:rPr>
      </w:pPr>
      <w:r>
        <w:rPr>
          <w:rFonts w:ascii="Calibri" w:hAnsi="Calibri" w:cs="Calibri"/>
          <w:sz w:val="20"/>
          <w:szCs w:val="20"/>
        </w:rPr>
        <w:t>La conduite de ces marchés se déroule en plusieurs étapes :</w:t>
      </w:r>
    </w:p>
    <w:p>
      <w:pPr>
        <w:numPr>
          <w:ilvl w:val="0"/>
          <w:numId w:val="42"/>
        </w:numPr>
        <w:spacing w:after="120"/>
        <w:ind w:left="714" w:hanging="357"/>
        <w:jc w:val="both"/>
        <w:rPr>
          <w:rFonts w:ascii="Calibri" w:hAnsi="Calibri" w:cs="Calibri"/>
          <w:b/>
          <w:sz w:val="20"/>
          <w:szCs w:val="20"/>
        </w:rPr>
      </w:pPr>
      <w:r>
        <w:rPr>
          <w:rFonts w:ascii="Calibri" w:hAnsi="Calibri" w:cs="Calibri"/>
          <w:b/>
          <w:sz w:val="20"/>
          <w:szCs w:val="20"/>
        </w:rPr>
        <w:t xml:space="preserve">Prospection du marché : </w:t>
      </w:r>
    </w:p>
    <w:p>
      <w:pPr>
        <w:spacing w:after="120"/>
        <w:ind w:left="714"/>
        <w:jc w:val="both"/>
        <w:rPr>
          <w:rFonts w:ascii="Calibri" w:hAnsi="Calibri" w:cs="Calibri"/>
          <w:sz w:val="20"/>
          <w:szCs w:val="20"/>
        </w:rPr>
      </w:pPr>
      <w:r>
        <w:rPr>
          <w:rFonts w:ascii="Calibri" w:hAnsi="Calibri" w:cs="Calibri"/>
          <w:sz w:val="20"/>
          <w:szCs w:val="20"/>
        </w:rPr>
        <w:t>Cette étape permet de définir un budget (sans les remises éventuelles) et de s’informer le plus largement possible des solutions techniques actuelles. Cette mission est remplie par le coordonnateur. Attention, il ne s’agit nullement d’une négociation.</w:t>
      </w:r>
    </w:p>
    <w:p>
      <w:pPr>
        <w:numPr>
          <w:ilvl w:val="0"/>
          <w:numId w:val="42"/>
        </w:numPr>
        <w:spacing w:after="120"/>
        <w:ind w:left="714" w:hanging="357"/>
        <w:jc w:val="both"/>
        <w:rPr>
          <w:rFonts w:ascii="Calibri" w:hAnsi="Calibri" w:cs="Calibri"/>
          <w:b/>
          <w:sz w:val="20"/>
          <w:szCs w:val="20"/>
        </w:rPr>
      </w:pPr>
      <w:r>
        <w:rPr>
          <w:rFonts w:ascii="Calibri" w:hAnsi="Calibri" w:cs="Calibri"/>
          <w:b/>
          <w:sz w:val="20"/>
          <w:szCs w:val="20"/>
        </w:rPr>
        <w:t xml:space="preserve">Réalisation du cahier spécial des charges : </w:t>
      </w:r>
    </w:p>
    <w:p>
      <w:pPr>
        <w:spacing w:after="120"/>
        <w:ind w:left="714"/>
        <w:jc w:val="both"/>
        <w:rPr>
          <w:rFonts w:ascii="Calibri" w:hAnsi="Calibri" w:cs="Calibri"/>
          <w:sz w:val="20"/>
          <w:szCs w:val="20"/>
        </w:rPr>
      </w:pPr>
      <w:r>
        <w:rPr>
          <w:rFonts w:ascii="Calibri" w:hAnsi="Calibri" w:cs="Calibri"/>
          <w:sz w:val="20"/>
          <w:szCs w:val="20"/>
        </w:rPr>
        <w:t>Le coordonnateur fournit les clauses techniques spécifiques. Il ne s’agit pas de réaliser un « copier/coller » d’un catalogue spécifique mais bien une description de l’ensemble des capacités techniques et des fonctionnalités souhaitées. Il est essentiel de prévoir des options et des variantes. Les autres clauses sont traitées par le chargé de mission CTA en charge du marché.</w:t>
      </w:r>
    </w:p>
    <w:p>
      <w:pPr>
        <w:numPr>
          <w:ilvl w:val="0"/>
          <w:numId w:val="42"/>
        </w:numPr>
        <w:spacing w:after="120"/>
        <w:ind w:left="714" w:hanging="357"/>
        <w:jc w:val="both"/>
        <w:rPr>
          <w:rFonts w:ascii="Calibri" w:hAnsi="Calibri" w:cs="Calibri"/>
          <w:b/>
          <w:sz w:val="20"/>
          <w:szCs w:val="20"/>
        </w:rPr>
      </w:pPr>
      <w:r>
        <w:rPr>
          <w:rFonts w:ascii="Calibri" w:hAnsi="Calibri" w:cs="Calibri"/>
          <w:b/>
          <w:sz w:val="20"/>
          <w:szCs w:val="20"/>
        </w:rPr>
        <w:t xml:space="preserve">Suivi administratif du lancement du marché : </w:t>
      </w:r>
    </w:p>
    <w:p>
      <w:pPr>
        <w:spacing w:after="120"/>
        <w:ind w:left="714"/>
        <w:jc w:val="both"/>
        <w:rPr>
          <w:rFonts w:ascii="Calibri" w:hAnsi="Calibri" w:cs="Calibri"/>
          <w:sz w:val="20"/>
          <w:szCs w:val="20"/>
        </w:rPr>
      </w:pPr>
      <w:r>
        <w:rPr>
          <w:rFonts w:ascii="Calibri" w:hAnsi="Calibri" w:cs="Calibri"/>
          <w:sz w:val="20"/>
          <w:szCs w:val="20"/>
        </w:rPr>
        <w:t>Cette phase de la conduite des marchés est gérée par les chargés de mission CTA : parcours administratif de validation du cahier des charges, publication, renseignements aux soumissionnaires (sauf spécifications contraires), etc.</w:t>
      </w:r>
    </w:p>
    <w:p>
      <w:pPr>
        <w:numPr>
          <w:ilvl w:val="0"/>
          <w:numId w:val="42"/>
        </w:numPr>
        <w:spacing w:after="120"/>
        <w:ind w:left="714" w:hanging="357"/>
        <w:jc w:val="both"/>
        <w:rPr>
          <w:rFonts w:ascii="Calibri" w:hAnsi="Calibri" w:cs="Calibri"/>
          <w:b/>
          <w:sz w:val="20"/>
          <w:szCs w:val="20"/>
        </w:rPr>
      </w:pPr>
      <w:r>
        <w:rPr>
          <w:rFonts w:ascii="Calibri" w:hAnsi="Calibri" w:cs="Calibri"/>
          <w:b/>
          <w:sz w:val="20"/>
          <w:szCs w:val="20"/>
        </w:rPr>
        <w:t xml:space="preserve">Dépôt des offres : </w:t>
      </w:r>
    </w:p>
    <w:p>
      <w:pPr>
        <w:spacing w:after="120"/>
        <w:ind w:left="714"/>
        <w:jc w:val="both"/>
        <w:rPr>
          <w:rFonts w:ascii="Calibri" w:hAnsi="Calibri" w:cs="Calibri"/>
          <w:sz w:val="20"/>
          <w:szCs w:val="20"/>
        </w:rPr>
      </w:pPr>
      <w:r>
        <w:rPr>
          <w:rFonts w:ascii="Calibri" w:hAnsi="Calibri" w:cs="Calibri"/>
          <w:sz w:val="20"/>
          <w:szCs w:val="20"/>
        </w:rPr>
        <w:t>Le coordonnateur et le chargé de mission en charge du marché participent tous deux à une séance d’ouverture des offres remises par les différents soumissionnaires. Une PV de la séance est rédigé à l’occasion.</w:t>
      </w:r>
    </w:p>
    <w:p>
      <w:pPr>
        <w:numPr>
          <w:ilvl w:val="0"/>
          <w:numId w:val="42"/>
        </w:numPr>
        <w:spacing w:after="120"/>
        <w:ind w:left="714" w:hanging="357"/>
        <w:jc w:val="both"/>
        <w:rPr>
          <w:rFonts w:ascii="Calibri" w:hAnsi="Calibri" w:cs="Calibri"/>
          <w:b/>
          <w:sz w:val="20"/>
          <w:szCs w:val="20"/>
        </w:rPr>
      </w:pPr>
      <w:r>
        <w:rPr>
          <w:rFonts w:ascii="Calibri" w:hAnsi="Calibri" w:cs="Calibri"/>
          <w:b/>
          <w:sz w:val="20"/>
          <w:szCs w:val="20"/>
        </w:rPr>
        <w:t xml:space="preserve">Analyse des offres déposées : </w:t>
      </w:r>
    </w:p>
    <w:p>
      <w:pPr>
        <w:spacing w:after="120"/>
        <w:ind w:left="714"/>
        <w:jc w:val="both"/>
        <w:rPr>
          <w:rFonts w:ascii="Calibri" w:hAnsi="Calibri" w:cs="Calibri"/>
          <w:sz w:val="20"/>
          <w:szCs w:val="20"/>
        </w:rPr>
      </w:pPr>
      <w:r>
        <w:rPr>
          <w:rFonts w:ascii="Calibri" w:hAnsi="Calibri" w:cs="Calibri"/>
          <w:sz w:val="20"/>
          <w:szCs w:val="20"/>
        </w:rPr>
        <w:t>Le coordonnateur et le chargé de mission analysent les offres déposées. Le coordonnateur compare les offres avec les clauses techniques définies dans le cahier spécial des charges et vérifie si toutes les spécifications ont été respectées. Sur base de cette analyse, le chargé de mission rédige une décision motivée.</w:t>
      </w:r>
    </w:p>
    <w:p>
      <w:pPr>
        <w:numPr>
          <w:ilvl w:val="0"/>
          <w:numId w:val="42"/>
        </w:numPr>
        <w:spacing w:after="120"/>
        <w:ind w:left="714" w:hanging="357"/>
        <w:jc w:val="both"/>
        <w:rPr>
          <w:rFonts w:ascii="Calibri" w:hAnsi="Calibri" w:cs="Calibri"/>
          <w:b/>
          <w:sz w:val="20"/>
          <w:szCs w:val="20"/>
        </w:rPr>
      </w:pPr>
      <w:r>
        <w:rPr>
          <w:rFonts w:ascii="Calibri" w:hAnsi="Calibri" w:cs="Calibri"/>
          <w:b/>
          <w:sz w:val="20"/>
          <w:szCs w:val="20"/>
        </w:rPr>
        <w:t xml:space="preserve">Suivi administratif de l’attribution du marché : </w:t>
      </w:r>
    </w:p>
    <w:p>
      <w:pPr>
        <w:spacing w:after="120"/>
        <w:ind w:left="714"/>
        <w:jc w:val="both"/>
        <w:rPr>
          <w:rFonts w:ascii="Calibri" w:hAnsi="Calibri" w:cs="Calibri"/>
          <w:sz w:val="20"/>
          <w:szCs w:val="20"/>
        </w:rPr>
      </w:pPr>
      <w:r>
        <w:rPr>
          <w:rFonts w:ascii="Calibri" w:hAnsi="Calibri" w:cs="Calibri"/>
          <w:sz w:val="20"/>
          <w:szCs w:val="20"/>
        </w:rPr>
        <w:t>Le chargé de mission se charge des démarches afférentes à l’octroi du marché : information et notification aux soumissionnaires, suivi de l’exécution du marché, etc.</w:t>
      </w:r>
    </w:p>
    <w:p>
      <w:pPr>
        <w:numPr>
          <w:ilvl w:val="0"/>
          <w:numId w:val="42"/>
        </w:numPr>
        <w:spacing w:after="120"/>
        <w:ind w:left="714" w:hanging="357"/>
        <w:jc w:val="both"/>
        <w:rPr>
          <w:rFonts w:ascii="Calibri" w:hAnsi="Calibri" w:cs="Calibri"/>
          <w:b/>
          <w:sz w:val="20"/>
          <w:szCs w:val="20"/>
        </w:rPr>
      </w:pPr>
      <w:r>
        <w:rPr>
          <w:rFonts w:ascii="Calibri" w:hAnsi="Calibri" w:cs="Calibri"/>
          <w:b/>
          <w:sz w:val="20"/>
          <w:szCs w:val="20"/>
        </w:rPr>
        <w:t xml:space="preserve">Réception des équipements : </w:t>
      </w:r>
    </w:p>
    <w:p>
      <w:pPr>
        <w:spacing w:after="120"/>
        <w:ind w:left="714"/>
        <w:jc w:val="both"/>
        <w:rPr>
          <w:rFonts w:ascii="Calibri" w:hAnsi="Calibri" w:cs="Calibri"/>
          <w:sz w:val="20"/>
          <w:szCs w:val="20"/>
        </w:rPr>
      </w:pPr>
      <w:r>
        <w:rPr>
          <w:rFonts w:ascii="Calibri" w:hAnsi="Calibri" w:cs="Calibri"/>
          <w:sz w:val="20"/>
          <w:szCs w:val="20"/>
        </w:rPr>
        <w:t>Lors de la livraison, le coordonnateur vérifie que tout est bien conforme au bon de livraison. Ensuite, en collaboration avec le chargé de mission, il procède à la réception du matériel, c’est-à-dire qu’il vérifie que tout est bien conforme au cahier des charges. S’il y a lieu, un PV de carence sera rédigé par le chargé de mission. Si tout est en ordre, un PV de réception est dressé.</w:t>
      </w:r>
    </w:p>
    <w:p>
      <w:pPr>
        <w:rPr>
          <w:rFonts w:ascii="Calibri" w:hAnsi="Calibri" w:cs="Calibri"/>
          <w:b/>
          <w:sz w:val="20"/>
          <w:szCs w:val="20"/>
        </w:rPr>
      </w:pPr>
      <w:r>
        <w:rPr>
          <w:rFonts w:ascii="Calibri" w:hAnsi="Calibri" w:cs="Calibri"/>
          <w:b/>
          <w:sz w:val="20"/>
          <w:szCs w:val="20"/>
        </w:rPr>
        <w:br w:type="page"/>
      </w:r>
    </w:p>
    <w:p>
      <w:pPr>
        <w:numPr>
          <w:ilvl w:val="0"/>
          <w:numId w:val="42"/>
        </w:numPr>
        <w:spacing w:after="120"/>
        <w:ind w:left="714" w:hanging="357"/>
        <w:jc w:val="both"/>
        <w:rPr>
          <w:rFonts w:ascii="Calibri" w:hAnsi="Calibri" w:cs="Calibri"/>
          <w:b/>
          <w:sz w:val="20"/>
          <w:szCs w:val="20"/>
        </w:rPr>
      </w:pPr>
      <w:r>
        <w:rPr>
          <w:rFonts w:ascii="Calibri" w:hAnsi="Calibri" w:cs="Calibri"/>
          <w:b/>
          <w:sz w:val="20"/>
          <w:szCs w:val="20"/>
        </w:rPr>
        <w:lastRenderedPageBreak/>
        <w:t xml:space="preserve">Suivi administratif de la clôture du marché : </w:t>
      </w:r>
    </w:p>
    <w:p>
      <w:pPr>
        <w:spacing w:after="120"/>
        <w:ind w:left="714"/>
        <w:jc w:val="both"/>
        <w:rPr>
          <w:rFonts w:ascii="Calibri" w:hAnsi="Calibri" w:cs="Calibri"/>
          <w:sz w:val="20"/>
          <w:szCs w:val="20"/>
        </w:rPr>
      </w:pPr>
      <w:r>
        <w:rPr>
          <w:rFonts w:ascii="Calibri" w:hAnsi="Calibri" w:cs="Calibri"/>
          <w:sz w:val="20"/>
          <w:szCs w:val="20"/>
        </w:rPr>
        <w:t>Le chargé de mission se charge de la mise en paiement de la facture, résolution des éventuels litiges, archivage des documents du marché, etc.</w:t>
      </w:r>
    </w:p>
    <w:p>
      <w:pPr>
        <w:numPr>
          <w:ilvl w:val="1"/>
          <w:numId w:val="56"/>
        </w:numPr>
        <w:spacing w:before="240" w:after="240"/>
        <w:ind w:left="709"/>
        <w:jc w:val="both"/>
        <w:rPr>
          <w:rFonts w:ascii="Calibri" w:hAnsi="Calibri" w:cs="Calibri"/>
          <w:b/>
          <w:smallCaps/>
          <w:sz w:val="32"/>
          <w:szCs w:val="32"/>
        </w:rPr>
      </w:pPr>
      <w:r>
        <w:rPr>
          <w:rFonts w:ascii="Calibri" w:hAnsi="Calibri" w:cs="Calibri"/>
          <w:b/>
          <w:smallCaps/>
          <w:sz w:val="32"/>
          <w:szCs w:val="32"/>
        </w:rPr>
        <w:t>Garantie des équipements acquis par la Fédération Wallonie-Bruxelles</w:t>
      </w:r>
    </w:p>
    <w:p>
      <w:pPr>
        <w:spacing w:after="120"/>
        <w:jc w:val="both"/>
        <w:rPr>
          <w:rFonts w:ascii="Calibri" w:hAnsi="Calibri" w:cs="Calibri"/>
          <w:sz w:val="20"/>
          <w:szCs w:val="20"/>
        </w:rPr>
      </w:pPr>
      <w:r>
        <w:rPr>
          <w:rFonts w:ascii="Calibri" w:hAnsi="Calibri" w:cs="Calibri"/>
          <w:sz w:val="20"/>
          <w:szCs w:val="20"/>
        </w:rPr>
        <w:t>Tous les équipements acquis par la Fédération Wallonie-Wallonie sont couverts par une garantie.</w:t>
      </w:r>
    </w:p>
    <w:p>
      <w:pPr>
        <w:spacing w:after="120"/>
        <w:jc w:val="both"/>
        <w:rPr>
          <w:rFonts w:ascii="Calibri" w:hAnsi="Calibri" w:cs="Calibri"/>
          <w:sz w:val="20"/>
          <w:szCs w:val="20"/>
        </w:rPr>
      </w:pPr>
      <w:r>
        <w:rPr>
          <w:rFonts w:ascii="Calibri" w:hAnsi="Calibri" w:cs="Calibri"/>
          <w:sz w:val="20"/>
          <w:szCs w:val="20"/>
        </w:rPr>
        <w:t xml:space="preserve">Le délai européen légal de garantie est </w:t>
      </w:r>
      <w:r>
        <w:rPr>
          <w:rFonts w:ascii="Calibri" w:hAnsi="Calibri" w:cs="Calibri"/>
          <w:b/>
          <w:bCs/>
          <w:sz w:val="20"/>
          <w:szCs w:val="20"/>
          <w:u w:val="single"/>
        </w:rPr>
        <w:t>de 2 ans</w:t>
      </w:r>
      <w:r>
        <w:rPr>
          <w:rFonts w:ascii="Calibri" w:hAnsi="Calibri" w:cs="Calibri"/>
          <w:sz w:val="20"/>
          <w:szCs w:val="20"/>
        </w:rPr>
        <w:t>, sauf mentions contraires dans le cahier spécial des charges.</w:t>
      </w:r>
    </w:p>
    <w:p>
      <w:pPr>
        <w:spacing w:after="120"/>
        <w:jc w:val="both"/>
        <w:rPr>
          <w:rFonts w:ascii="Calibri" w:hAnsi="Calibri" w:cs="Calibri"/>
          <w:sz w:val="20"/>
          <w:szCs w:val="20"/>
        </w:rPr>
      </w:pPr>
      <w:r>
        <w:rPr>
          <w:rFonts w:ascii="Calibri" w:hAnsi="Calibri" w:cs="Calibri"/>
          <w:sz w:val="20"/>
          <w:szCs w:val="20"/>
        </w:rPr>
        <w:t xml:space="preserve">A noter que ce délai débute à dater du jour de la réception des équipements, d’où l’importance de </w:t>
      </w:r>
      <w:r>
        <w:rPr>
          <w:rFonts w:ascii="Calibri" w:hAnsi="Calibri" w:cs="Calibri"/>
          <w:b/>
          <w:sz w:val="20"/>
          <w:szCs w:val="20"/>
        </w:rPr>
        <w:t xml:space="preserve">dresser un </w:t>
      </w:r>
      <w:r>
        <w:rPr>
          <w:rFonts w:ascii="Calibri" w:hAnsi="Calibri" w:cs="Calibri"/>
          <w:b/>
          <w:bCs/>
          <w:sz w:val="20"/>
          <w:szCs w:val="20"/>
          <w:u w:val="single"/>
        </w:rPr>
        <w:t>PV de réception, de le dater, de le signer et de le conserver.</w:t>
      </w:r>
    </w:p>
    <w:p>
      <w:pPr>
        <w:spacing w:after="120"/>
        <w:jc w:val="both"/>
        <w:rPr>
          <w:rFonts w:ascii="Calibri" w:hAnsi="Calibri" w:cs="Calibri"/>
          <w:sz w:val="20"/>
          <w:szCs w:val="20"/>
        </w:rPr>
      </w:pPr>
      <w:r>
        <w:rPr>
          <w:rFonts w:ascii="Calibri" w:hAnsi="Calibri" w:cs="Calibri"/>
          <w:sz w:val="20"/>
          <w:szCs w:val="20"/>
        </w:rPr>
        <w:t xml:space="preserve">Si, en cas de dommage occasionné à un équipement, il s’avère que l’appareil est sous garantie, il y a </w:t>
      </w:r>
      <w:r>
        <w:rPr>
          <w:rFonts w:ascii="Calibri" w:hAnsi="Calibri" w:cs="Calibri"/>
          <w:b/>
          <w:bCs/>
          <w:sz w:val="20"/>
          <w:szCs w:val="20"/>
        </w:rPr>
        <w:t>TOUJOURS</w:t>
      </w:r>
      <w:r>
        <w:rPr>
          <w:rFonts w:ascii="Calibri" w:hAnsi="Calibri" w:cs="Calibri"/>
          <w:sz w:val="20"/>
          <w:szCs w:val="20"/>
        </w:rPr>
        <w:t xml:space="preserve"> lieu de la faire jouer avant d’entamer toute autre démarche.</w:t>
      </w:r>
    </w:p>
    <w:p>
      <w:pPr>
        <w:numPr>
          <w:ilvl w:val="1"/>
          <w:numId w:val="56"/>
        </w:numPr>
        <w:spacing w:before="240" w:after="240"/>
        <w:ind w:left="709"/>
        <w:jc w:val="both"/>
        <w:rPr>
          <w:rFonts w:ascii="Calibri" w:hAnsi="Calibri" w:cs="Calibri"/>
          <w:b/>
          <w:smallCaps/>
          <w:sz w:val="32"/>
          <w:szCs w:val="32"/>
        </w:rPr>
      </w:pPr>
      <w:r>
        <w:rPr>
          <w:rFonts w:ascii="Calibri" w:hAnsi="Calibri" w:cs="Calibri"/>
          <w:b/>
          <w:smallCaps/>
          <w:sz w:val="32"/>
          <w:szCs w:val="32"/>
        </w:rPr>
        <w:t>Maintenance des équipements appartenant à la Fédération Wallonie-Bruxelles</w:t>
      </w:r>
    </w:p>
    <w:p>
      <w:pPr>
        <w:spacing w:after="120"/>
        <w:jc w:val="both"/>
        <w:rPr>
          <w:rFonts w:asciiTheme="minorHAnsi" w:hAnsiTheme="minorHAnsi" w:cstheme="minorHAnsi"/>
          <w:sz w:val="20"/>
          <w:szCs w:val="20"/>
        </w:rPr>
      </w:pPr>
      <w:r>
        <w:rPr>
          <w:rFonts w:asciiTheme="minorHAnsi" w:hAnsiTheme="minorHAnsi" w:cstheme="minorHAnsi"/>
          <w:sz w:val="20"/>
          <w:szCs w:val="20"/>
        </w:rPr>
        <w:t>Le fonds de maintenance des équipements CTA est destiné à prendre en charge les frais de maintenance engagés par les Centres de Technologies Avancées au cours de l’année civile. Ces frais concernent la maintenance préventive et curative de leurs équipements.</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Définitions</w:t>
      </w:r>
      <w:r>
        <w:rPr>
          <w:rStyle w:val="Appelnotedebasdep"/>
          <w:rFonts w:ascii="Calibri" w:hAnsi="Calibri" w:cs="Calibri"/>
          <w:b/>
          <w:sz w:val="28"/>
          <w:szCs w:val="28"/>
        </w:rPr>
        <w:footnoteReference w:id="4"/>
      </w:r>
    </w:p>
    <w:p>
      <w:pPr>
        <w:spacing w:after="120"/>
        <w:jc w:val="both"/>
        <w:rPr>
          <w:rFonts w:asciiTheme="minorHAnsi" w:hAnsiTheme="minorHAnsi" w:cstheme="minorHAnsi"/>
          <w:sz w:val="20"/>
          <w:szCs w:val="20"/>
        </w:rPr>
      </w:pPr>
      <w:r>
        <w:rPr>
          <w:rFonts w:asciiTheme="minorHAnsi" w:hAnsiTheme="minorHAnsi" w:cstheme="minorHAnsi"/>
          <w:sz w:val="20"/>
          <w:szCs w:val="20"/>
        </w:rPr>
        <w:t xml:space="preserve">La </w:t>
      </w:r>
      <w:r>
        <w:rPr>
          <w:rFonts w:asciiTheme="minorHAnsi" w:hAnsiTheme="minorHAnsi" w:cstheme="minorHAnsi"/>
          <w:b/>
          <w:sz w:val="20"/>
          <w:szCs w:val="20"/>
          <w:u w:val="single"/>
        </w:rPr>
        <w:t>maintenance préventive</w:t>
      </w:r>
      <w:r>
        <w:rPr>
          <w:rFonts w:asciiTheme="minorHAnsi" w:hAnsiTheme="minorHAnsi" w:cstheme="minorHAnsi"/>
          <w:sz w:val="20"/>
          <w:szCs w:val="20"/>
        </w:rPr>
        <w:t xml:space="preserve"> désigne le remplacement, la révision, ou la réfection d'un élément matériel avant que celui-ci n'entraîne une avarie. Il s’agit donc d’une maintenance exécutée à des intervalles prédéterminés ou selon des critères prescrits et destinée à réduire la probabilité de défaillance ou la dégradation du fonctionnement d'un bien. Elle a entre autre pour but :</w:t>
      </w:r>
    </w:p>
    <w:p>
      <w:pPr>
        <w:numPr>
          <w:ilvl w:val="0"/>
          <w:numId w:val="130"/>
        </w:numPr>
        <w:spacing w:after="120"/>
        <w:jc w:val="both"/>
        <w:rPr>
          <w:rFonts w:asciiTheme="minorHAnsi" w:hAnsiTheme="minorHAnsi" w:cstheme="minorHAnsi"/>
          <w:sz w:val="20"/>
          <w:szCs w:val="20"/>
        </w:rPr>
      </w:pPr>
      <w:r>
        <w:rPr>
          <w:rFonts w:asciiTheme="minorHAnsi" w:hAnsiTheme="minorHAnsi" w:cstheme="minorHAnsi"/>
          <w:sz w:val="20"/>
          <w:szCs w:val="20"/>
        </w:rPr>
        <w:t>d’augmenter la durée de vie des équipements ;</w:t>
      </w:r>
    </w:p>
    <w:p>
      <w:pPr>
        <w:numPr>
          <w:ilvl w:val="0"/>
          <w:numId w:val="130"/>
        </w:numPr>
        <w:spacing w:after="120"/>
        <w:jc w:val="both"/>
        <w:rPr>
          <w:rFonts w:asciiTheme="minorHAnsi" w:hAnsiTheme="minorHAnsi" w:cstheme="minorHAnsi"/>
          <w:sz w:val="20"/>
          <w:szCs w:val="20"/>
        </w:rPr>
      </w:pPr>
      <w:r>
        <w:rPr>
          <w:rFonts w:asciiTheme="minorHAnsi" w:hAnsiTheme="minorHAnsi" w:cstheme="minorHAnsi"/>
          <w:sz w:val="20"/>
          <w:szCs w:val="20"/>
        </w:rPr>
        <w:t>d’augmenter la fiabilité d’un équipement, donc de diminuer la probabilité des défaillances en service et d’améliorer de sa disponibilité ;</w:t>
      </w:r>
    </w:p>
    <w:p>
      <w:pPr>
        <w:numPr>
          <w:ilvl w:val="0"/>
          <w:numId w:val="130"/>
        </w:numPr>
        <w:spacing w:after="120"/>
        <w:jc w:val="both"/>
        <w:rPr>
          <w:rFonts w:asciiTheme="minorHAnsi" w:hAnsiTheme="minorHAnsi" w:cstheme="minorHAnsi"/>
          <w:sz w:val="20"/>
          <w:szCs w:val="20"/>
        </w:rPr>
      </w:pPr>
      <w:r>
        <w:rPr>
          <w:rFonts w:asciiTheme="minorHAnsi" w:hAnsiTheme="minorHAnsi" w:cstheme="minorHAnsi"/>
          <w:sz w:val="20"/>
          <w:szCs w:val="20"/>
        </w:rPr>
        <w:t>de diminuer les temps d’arrêt en cas de révision ou de panne ;</w:t>
      </w:r>
    </w:p>
    <w:p>
      <w:pPr>
        <w:numPr>
          <w:ilvl w:val="0"/>
          <w:numId w:val="130"/>
        </w:numPr>
        <w:spacing w:after="120"/>
        <w:jc w:val="both"/>
        <w:rPr>
          <w:rFonts w:asciiTheme="minorHAnsi" w:hAnsiTheme="minorHAnsi" w:cstheme="minorHAnsi"/>
          <w:sz w:val="20"/>
          <w:szCs w:val="20"/>
        </w:rPr>
      </w:pPr>
      <w:r>
        <w:rPr>
          <w:rFonts w:asciiTheme="minorHAnsi" w:hAnsiTheme="minorHAnsi" w:cstheme="minorHAnsi"/>
          <w:sz w:val="20"/>
          <w:szCs w:val="20"/>
        </w:rPr>
        <w:t>de prévenir les interventions coûteuses de maintenance corrective ;</w:t>
      </w:r>
    </w:p>
    <w:p>
      <w:pPr>
        <w:numPr>
          <w:ilvl w:val="0"/>
          <w:numId w:val="130"/>
        </w:numPr>
        <w:spacing w:after="120"/>
        <w:jc w:val="both"/>
        <w:rPr>
          <w:rFonts w:asciiTheme="minorHAnsi" w:hAnsiTheme="minorHAnsi" w:cstheme="minorHAnsi"/>
          <w:sz w:val="20"/>
          <w:szCs w:val="20"/>
        </w:rPr>
      </w:pPr>
      <w:r>
        <w:rPr>
          <w:rFonts w:asciiTheme="minorHAnsi" w:hAnsiTheme="minorHAnsi" w:cstheme="minorHAnsi"/>
          <w:sz w:val="20"/>
          <w:szCs w:val="20"/>
        </w:rPr>
        <w:t>de permettre de décider la maintenance corrective dans de bonnes conditions ;</w:t>
      </w:r>
    </w:p>
    <w:p>
      <w:pPr>
        <w:numPr>
          <w:ilvl w:val="0"/>
          <w:numId w:val="130"/>
        </w:numPr>
        <w:spacing w:after="120"/>
        <w:jc w:val="both"/>
        <w:rPr>
          <w:rFonts w:asciiTheme="minorHAnsi" w:hAnsiTheme="minorHAnsi" w:cstheme="minorHAnsi"/>
          <w:sz w:val="20"/>
          <w:szCs w:val="20"/>
        </w:rPr>
      </w:pPr>
      <w:r>
        <w:rPr>
          <w:rFonts w:asciiTheme="minorHAnsi" w:hAnsiTheme="minorHAnsi" w:cstheme="minorHAnsi"/>
          <w:sz w:val="20"/>
          <w:szCs w:val="20"/>
        </w:rPr>
        <w:t>d’éviter les consommations anormales d’énergie, de lubrifiant, etc. et donc de faciliter la gestion des stocks.</w:t>
      </w:r>
    </w:p>
    <w:p>
      <w:pPr>
        <w:spacing w:after="120"/>
        <w:jc w:val="both"/>
        <w:rPr>
          <w:rFonts w:asciiTheme="minorHAnsi" w:hAnsiTheme="minorHAnsi" w:cstheme="minorHAnsi"/>
          <w:sz w:val="20"/>
          <w:szCs w:val="20"/>
        </w:rPr>
      </w:pPr>
      <w:r>
        <w:rPr>
          <w:rFonts w:asciiTheme="minorHAnsi" w:hAnsiTheme="minorHAnsi" w:cstheme="minorHAnsi"/>
          <w:sz w:val="20"/>
          <w:szCs w:val="20"/>
        </w:rPr>
        <w:t>On peut subdiviser la maintenance préventive en trois types :</w:t>
      </w:r>
    </w:p>
    <w:p>
      <w:pPr>
        <w:numPr>
          <w:ilvl w:val="0"/>
          <w:numId w:val="131"/>
        </w:numPr>
        <w:spacing w:after="120"/>
        <w:jc w:val="both"/>
        <w:rPr>
          <w:rFonts w:asciiTheme="minorHAnsi" w:hAnsiTheme="minorHAnsi" w:cstheme="minorHAnsi"/>
          <w:sz w:val="20"/>
          <w:szCs w:val="20"/>
        </w:rPr>
      </w:pPr>
      <w:r>
        <w:rPr>
          <w:rFonts w:asciiTheme="minorHAnsi" w:hAnsiTheme="minorHAnsi" w:cstheme="minorHAnsi"/>
          <w:sz w:val="20"/>
          <w:szCs w:val="20"/>
        </w:rPr>
        <w:t>la maintenance systématique, c’est-à-dire une maintenance préventive exécutée à des intervalles de temps préétablis ou selon un nombre défini d'unités d'usage mais sans contrôle préalable de l'état du bien ;</w:t>
      </w:r>
    </w:p>
    <w:p>
      <w:pPr>
        <w:numPr>
          <w:ilvl w:val="0"/>
          <w:numId w:val="131"/>
        </w:numPr>
        <w:spacing w:after="120"/>
        <w:jc w:val="both"/>
        <w:rPr>
          <w:rFonts w:asciiTheme="minorHAnsi" w:hAnsiTheme="minorHAnsi" w:cstheme="minorHAnsi"/>
          <w:sz w:val="20"/>
          <w:szCs w:val="20"/>
        </w:rPr>
      </w:pPr>
      <w:r>
        <w:rPr>
          <w:rFonts w:asciiTheme="minorHAnsi" w:hAnsiTheme="minorHAnsi" w:cstheme="minorHAnsi"/>
          <w:sz w:val="20"/>
          <w:szCs w:val="20"/>
        </w:rPr>
        <w:t>la maintenance conditionnelle, c’est-à-dire une maintenance préventive basée sur une surveillance du fonctionnement du bien et/ou des paramètres significatifs de ce fonctionnement intégrant les actions qui en découlent ;</w:t>
      </w:r>
    </w:p>
    <w:p>
      <w:pPr>
        <w:rPr>
          <w:rFonts w:asciiTheme="minorHAnsi" w:hAnsiTheme="minorHAnsi" w:cstheme="minorHAnsi"/>
          <w:sz w:val="20"/>
          <w:szCs w:val="20"/>
        </w:rPr>
      </w:pPr>
      <w:r>
        <w:rPr>
          <w:rFonts w:asciiTheme="minorHAnsi" w:hAnsiTheme="minorHAnsi" w:cstheme="minorHAnsi"/>
          <w:sz w:val="20"/>
          <w:szCs w:val="20"/>
        </w:rPr>
        <w:br w:type="page"/>
      </w:r>
    </w:p>
    <w:p>
      <w:pPr>
        <w:numPr>
          <w:ilvl w:val="0"/>
          <w:numId w:val="131"/>
        </w:numPr>
        <w:spacing w:after="120"/>
        <w:jc w:val="both"/>
        <w:rPr>
          <w:rFonts w:asciiTheme="minorHAnsi" w:hAnsiTheme="minorHAnsi" w:cstheme="minorHAnsi"/>
          <w:sz w:val="20"/>
          <w:szCs w:val="20"/>
        </w:rPr>
      </w:pPr>
      <w:r>
        <w:rPr>
          <w:rFonts w:asciiTheme="minorHAnsi" w:hAnsiTheme="minorHAnsi" w:cstheme="minorHAnsi"/>
          <w:sz w:val="20"/>
          <w:szCs w:val="20"/>
        </w:rPr>
        <w:lastRenderedPageBreak/>
        <w:t>la maintenance prévisionnelle, c’est-à-dire une maintenance conditionnelle exécutée en suivant les prévisions extrapolées de l'analyse et de l'évaluation de paramètres significatifs de la dégradation du bien.</w:t>
      </w:r>
    </w:p>
    <w:p>
      <w:pPr>
        <w:spacing w:after="120"/>
        <w:jc w:val="both"/>
        <w:rPr>
          <w:rFonts w:asciiTheme="minorHAnsi" w:hAnsiTheme="minorHAnsi" w:cstheme="minorHAnsi"/>
          <w:sz w:val="20"/>
          <w:szCs w:val="20"/>
        </w:rPr>
      </w:pPr>
      <w:r>
        <w:rPr>
          <w:rFonts w:asciiTheme="minorHAnsi" w:hAnsiTheme="minorHAnsi" w:cstheme="minorHAnsi"/>
          <w:sz w:val="20"/>
          <w:szCs w:val="20"/>
        </w:rPr>
        <w:t xml:space="preserve">La </w:t>
      </w:r>
      <w:r>
        <w:rPr>
          <w:rFonts w:asciiTheme="minorHAnsi" w:hAnsiTheme="minorHAnsi" w:cstheme="minorHAnsi"/>
          <w:b/>
          <w:sz w:val="20"/>
          <w:szCs w:val="20"/>
          <w:u w:val="single"/>
        </w:rPr>
        <w:t>maintenance curative</w:t>
      </w:r>
      <w:r>
        <w:rPr>
          <w:rFonts w:asciiTheme="minorHAnsi" w:hAnsiTheme="minorHAnsi" w:cstheme="minorHAnsi"/>
          <w:sz w:val="20"/>
          <w:szCs w:val="20"/>
        </w:rPr>
        <w:t xml:space="preserve"> quant à elle consiste à intervenir sur un équipement une fois que celui-ci est défaillant. Dans ce cas, le remboursement n’a lieu que si l’appareil concerné est victime d’une panne, d’usure ou a subi une casse non couverte par l’assurance. De plus, cet équipement ne doit plus être couvert par une garantie et doit avoir bénéficié d’une maintenance préventive.</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Frais éligibles</w:t>
      </w:r>
    </w:p>
    <w:p>
      <w:pPr>
        <w:spacing w:after="120"/>
        <w:jc w:val="both"/>
        <w:rPr>
          <w:rFonts w:asciiTheme="minorHAnsi" w:hAnsiTheme="minorHAnsi" w:cstheme="minorHAnsi"/>
          <w:sz w:val="20"/>
          <w:szCs w:val="20"/>
        </w:rPr>
      </w:pPr>
      <w:r>
        <w:rPr>
          <w:rFonts w:asciiTheme="minorHAnsi" w:hAnsiTheme="minorHAnsi" w:cstheme="minorHAnsi"/>
          <w:sz w:val="20"/>
          <w:szCs w:val="20"/>
        </w:rPr>
        <w:t>Seuls les frais engagés pour la maintenance des équipements présents dans les CTA et dédiés à la formation des publics-cibles sont éligibles. Ces frais ne peuvent être engagés que dans le cadre d’un marché public.</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Procédure de remboursement</w:t>
      </w:r>
    </w:p>
    <w:p>
      <w:pPr>
        <w:spacing w:after="120"/>
        <w:jc w:val="both"/>
        <w:rPr>
          <w:rFonts w:asciiTheme="minorHAnsi" w:hAnsiTheme="minorHAnsi" w:cstheme="minorHAnsi"/>
          <w:sz w:val="20"/>
          <w:szCs w:val="20"/>
        </w:rPr>
      </w:pPr>
      <w:r>
        <w:rPr>
          <w:rFonts w:asciiTheme="minorHAnsi" w:hAnsiTheme="minorHAnsi" w:cstheme="minorHAnsi"/>
          <w:sz w:val="20"/>
          <w:szCs w:val="20"/>
        </w:rPr>
        <w:t xml:space="preserve">Le remboursement des frais de maintenance se fait sur base d’un dossier justificatif. </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Constitution du dossier justificatif</w:t>
      </w:r>
    </w:p>
    <w:p>
      <w:pPr>
        <w:spacing w:after="120"/>
        <w:jc w:val="both"/>
        <w:rPr>
          <w:rFonts w:asciiTheme="minorHAnsi" w:hAnsiTheme="minorHAnsi" w:cstheme="minorHAnsi"/>
          <w:sz w:val="20"/>
          <w:szCs w:val="20"/>
        </w:rPr>
      </w:pPr>
      <w:r>
        <w:rPr>
          <w:rFonts w:asciiTheme="minorHAnsi" w:hAnsiTheme="minorHAnsi" w:cstheme="minorHAnsi"/>
          <w:sz w:val="20"/>
          <w:szCs w:val="20"/>
        </w:rPr>
        <w:t>Le dossier justificatif est constitué des documents suivants :</w:t>
      </w:r>
    </w:p>
    <w:p>
      <w:pPr>
        <w:numPr>
          <w:ilvl w:val="0"/>
          <w:numId w:val="131"/>
        </w:numPr>
        <w:spacing w:after="120"/>
        <w:jc w:val="both"/>
        <w:rPr>
          <w:rFonts w:asciiTheme="minorHAnsi" w:hAnsiTheme="minorHAnsi" w:cstheme="minorHAnsi"/>
          <w:sz w:val="20"/>
          <w:szCs w:val="20"/>
        </w:rPr>
      </w:pPr>
      <w:r>
        <w:rPr>
          <w:rFonts w:asciiTheme="minorHAnsi" w:hAnsiTheme="minorHAnsi" w:cstheme="minorHAnsi"/>
          <w:sz w:val="20"/>
          <w:szCs w:val="20"/>
        </w:rPr>
        <w:t xml:space="preserve">Une déclaration de créance dûment signée et cachetée par le chef d’établissement (voir modèle en </w:t>
      </w:r>
      <w:r>
        <w:rPr>
          <w:rFonts w:asciiTheme="minorHAnsi" w:hAnsiTheme="minorHAnsi" w:cstheme="minorHAnsi"/>
          <w:b/>
          <w:sz w:val="20"/>
          <w:szCs w:val="20"/>
          <w:u w:val="single"/>
        </w:rPr>
        <w:t>annexe 16</w:t>
      </w:r>
      <w:r>
        <w:rPr>
          <w:rFonts w:asciiTheme="minorHAnsi" w:hAnsiTheme="minorHAnsi" w:cstheme="minorHAnsi"/>
          <w:sz w:val="20"/>
          <w:szCs w:val="20"/>
        </w:rPr>
        <w:t xml:space="preserve"> du présent document)</w:t>
      </w:r>
    </w:p>
    <w:p>
      <w:pPr>
        <w:numPr>
          <w:ilvl w:val="0"/>
          <w:numId w:val="131"/>
        </w:numPr>
        <w:spacing w:after="120"/>
        <w:jc w:val="both"/>
        <w:rPr>
          <w:rFonts w:asciiTheme="minorHAnsi" w:hAnsiTheme="minorHAnsi" w:cstheme="minorHAnsi"/>
          <w:sz w:val="20"/>
          <w:szCs w:val="20"/>
        </w:rPr>
      </w:pPr>
      <w:r>
        <w:rPr>
          <w:rFonts w:asciiTheme="minorHAnsi" w:hAnsiTheme="minorHAnsi" w:cstheme="minorHAnsi"/>
          <w:sz w:val="20"/>
          <w:szCs w:val="20"/>
        </w:rPr>
        <w:t>Une copie des factures et des preuves de paiement (avis de débit d’ordre collectif et extrait bancaire) certifiées conformes par le chef d’établissement ou l’économe</w:t>
      </w:r>
    </w:p>
    <w:p>
      <w:pPr>
        <w:numPr>
          <w:ilvl w:val="0"/>
          <w:numId w:val="131"/>
        </w:numPr>
        <w:spacing w:after="120"/>
        <w:jc w:val="both"/>
        <w:rPr>
          <w:rFonts w:asciiTheme="minorHAnsi" w:hAnsiTheme="minorHAnsi" w:cstheme="minorHAnsi"/>
          <w:sz w:val="20"/>
          <w:szCs w:val="20"/>
        </w:rPr>
      </w:pPr>
      <w:r>
        <w:rPr>
          <w:rFonts w:asciiTheme="minorHAnsi" w:hAnsiTheme="minorHAnsi" w:cstheme="minorHAnsi"/>
          <w:sz w:val="20"/>
          <w:szCs w:val="20"/>
        </w:rPr>
        <w:t>Le bon de commande définissant clairement l’objet du marché</w:t>
      </w:r>
    </w:p>
    <w:p>
      <w:pPr>
        <w:numPr>
          <w:ilvl w:val="0"/>
          <w:numId w:val="131"/>
        </w:numPr>
        <w:spacing w:after="120"/>
        <w:jc w:val="both"/>
        <w:rPr>
          <w:rFonts w:asciiTheme="minorHAnsi" w:hAnsiTheme="minorHAnsi" w:cstheme="minorHAnsi"/>
          <w:sz w:val="20"/>
          <w:szCs w:val="20"/>
        </w:rPr>
      </w:pPr>
      <w:r>
        <w:rPr>
          <w:rFonts w:asciiTheme="minorHAnsi" w:hAnsiTheme="minorHAnsi" w:cstheme="minorHAnsi"/>
          <w:sz w:val="20"/>
          <w:szCs w:val="20"/>
        </w:rPr>
        <w:t>Les offres des firmes consultées ou les copies d’au moins 3 devis datés</w:t>
      </w:r>
    </w:p>
    <w:p>
      <w:pPr>
        <w:numPr>
          <w:ilvl w:val="0"/>
          <w:numId w:val="131"/>
        </w:numPr>
        <w:spacing w:after="120"/>
        <w:jc w:val="both"/>
        <w:rPr>
          <w:rFonts w:asciiTheme="minorHAnsi" w:hAnsiTheme="minorHAnsi" w:cstheme="minorHAnsi"/>
          <w:sz w:val="20"/>
          <w:szCs w:val="20"/>
        </w:rPr>
      </w:pPr>
      <w:r>
        <w:rPr>
          <w:rFonts w:asciiTheme="minorHAnsi" w:hAnsiTheme="minorHAnsi" w:cstheme="minorHAnsi"/>
          <w:sz w:val="20"/>
          <w:szCs w:val="20"/>
        </w:rPr>
        <w:t>La décision motivée d’attribution</w:t>
      </w:r>
    </w:p>
    <w:p>
      <w:pPr>
        <w:spacing w:after="120"/>
        <w:jc w:val="both"/>
        <w:rPr>
          <w:rFonts w:asciiTheme="minorHAnsi" w:hAnsiTheme="minorHAnsi" w:cstheme="minorHAnsi"/>
          <w:sz w:val="20"/>
          <w:szCs w:val="20"/>
        </w:rPr>
      </w:pPr>
      <w:r>
        <w:rPr>
          <w:rFonts w:asciiTheme="minorHAnsi" w:hAnsiTheme="minorHAnsi" w:cstheme="minorHAnsi"/>
          <w:sz w:val="20"/>
          <w:szCs w:val="20"/>
        </w:rPr>
        <w:t xml:space="preserve">En cas de maintenance curative, il convient de joindre la preuve que l’appareil concerné : </w:t>
      </w:r>
    </w:p>
    <w:p>
      <w:pPr>
        <w:numPr>
          <w:ilvl w:val="0"/>
          <w:numId w:val="131"/>
        </w:numPr>
        <w:spacing w:after="120"/>
        <w:jc w:val="both"/>
        <w:rPr>
          <w:rFonts w:asciiTheme="minorHAnsi" w:hAnsiTheme="minorHAnsi" w:cstheme="minorHAnsi"/>
          <w:sz w:val="20"/>
          <w:szCs w:val="20"/>
        </w:rPr>
      </w:pPr>
      <w:r>
        <w:rPr>
          <w:rFonts w:asciiTheme="minorHAnsi" w:hAnsiTheme="minorHAnsi" w:cstheme="minorHAnsi"/>
          <w:sz w:val="20"/>
          <w:szCs w:val="20"/>
        </w:rPr>
        <w:t>est victime d’une panne, d’usure ou a subi une casse non couverte par l’assurance</w:t>
      </w:r>
    </w:p>
    <w:p>
      <w:pPr>
        <w:numPr>
          <w:ilvl w:val="0"/>
          <w:numId w:val="131"/>
        </w:numPr>
        <w:spacing w:after="120"/>
        <w:jc w:val="both"/>
        <w:rPr>
          <w:rFonts w:asciiTheme="minorHAnsi" w:hAnsiTheme="minorHAnsi" w:cstheme="minorHAnsi"/>
          <w:sz w:val="20"/>
          <w:szCs w:val="20"/>
        </w:rPr>
      </w:pPr>
      <w:r>
        <w:rPr>
          <w:rFonts w:asciiTheme="minorHAnsi" w:hAnsiTheme="minorHAnsi" w:cstheme="minorHAnsi"/>
          <w:sz w:val="20"/>
          <w:szCs w:val="20"/>
        </w:rPr>
        <w:t xml:space="preserve">n’est plus couvert par une garantie </w:t>
      </w:r>
    </w:p>
    <w:p>
      <w:pPr>
        <w:numPr>
          <w:ilvl w:val="0"/>
          <w:numId w:val="131"/>
        </w:numPr>
        <w:spacing w:after="120"/>
        <w:jc w:val="both"/>
        <w:rPr>
          <w:rFonts w:asciiTheme="minorHAnsi" w:hAnsiTheme="minorHAnsi" w:cstheme="minorHAnsi"/>
          <w:sz w:val="20"/>
          <w:szCs w:val="20"/>
        </w:rPr>
      </w:pPr>
      <w:r>
        <w:rPr>
          <w:rFonts w:asciiTheme="minorHAnsi" w:hAnsiTheme="minorHAnsi" w:cstheme="minorHAnsi"/>
          <w:sz w:val="20"/>
          <w:szCs w:val="20"/>
        </w:rPr>
        <w:t>a bénéficié d’une maintenance préventive</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Date ultime d’envoi du dossier justificatif</w:t>
      </w:r>
    </w:p>
    <w:p>
      <w:pPr>
        <w:spacing w:after="240"/>
        <w:jc w:val="both"/>
        <w:rPr>
          <w:rFonts w:asciiTheme="minorHAnsi" w:hAnsiTheme="minorHAnsi" w:cstheme="minorHAnsi"/>
          <w:sz w:val="20"/>
          <w:szCs w:val="20"/>
        </w:rPr>
      </w:pPr>
      <w:r>
        <w:rPr>
          <w:rFonts w:asciiTheme="minorHAnsi" w:hAnsiTheme="minorHAnsi" w:cstheme="minorHAnsi"/>
          <w:sz w:val="20"/>
          <w:szCs w:val="20"/>
        </w:rPr>
        <w:t xml:space="preserve">Le dossier justificatif est à introduire pour le </w:t>
      </w:r>
      <w:r>
        <w:rPr>
          <w:rFonts w:asciiTheme="minorHAnsi" w:hAnsiTheme="minorHAnsi" w:cstheme="minorHAnsi"/>
          <w:b/>
          <w:sz w:val="20"/>
          <w:szCs w:val="20"/>
          <w:u w:val="single"/>
        </w:rPr>
        <w:t>30 novembre 2018 au plus tard</w:t>
      </w:r>
      <w:r>
        <w:rPr>
          <w:rFonts w:asciiTheme="minorHAnsi" w:hAnsiTheme="minorHAnsi" w:cstheme="minorHAnsi"/>
          <w:sz w:val="20"/>
          <w:szCs w:val="20"/>
        </w:rPr>
        <w:t>. Les dossiers introduits après cette date ne seront pas pris en compte.</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Adresse</w:t>
      </w:r>
    </w:p>
    <w:p>
      <w:pPr>
        <w:spacing w:after="120"/>
        <w:jc w:val="both"/>
        <w:rPr>
          <w:rFonts w:asciiTheme="minorHAnsi" w:hAnsiTheme="minorHAnsi" w:cstheme="minorHAnsi"/>
          <w:sz w:val="20"/>
          <w:szCs w:val="20"/>
        </w:rPr>
      </w:pPr>
      <w:r>
        <w:rPr>
          <w:rFonts w:asciiTheme="minorHAnsi" w:hAnsiTheme="minorHAnsi" w:cstheme="minorHAnsi"/>
          <w:sz w:val="20"/>
          <w:szCs w:val="20"/>
        </w:rPr>
        <w:t>Le dossier justificatif est à adresser par courrier à l’adresse suivante :</w:t>
      </w:r>
    </w:p>
    <w:p>
      <w:pPr>
        <w:jc w:val="center"/>
        <w:rPr>
          <w:rFonts w:asciiTheme="minorHAnsi" w:hAnsiTheme="minorHAnsi" w:cstheme="minorHAnsi"/>
          <w:sz w:val="20"/>
          <w:szCs w:val="20"/>
        </w:rPr>
      </w:pPr>
      <w:r>
        <w:rPr>
          <w:rFonts w:asciiTheme="minorHAnsi" w:hAnsiTheme="minorHAnsi" w:cstheme="minorHAnsi"/>
          <w:sz w:val="20"/>
          <w:szCs w:val="20"/>
        </w:rPr>
        <w:t>Ministère de la Fédération Wallonie-Bruxelles</w:t>
      </w:r>
    </w:p>
    <w:p>
      <w:pPr>
        <w:jc w:val="center"/>
        <w:rPr>
          <w:rFonts w:asciiTheme="minorHAnsi" w:hAnsiTheme="minorHAnsi" w:cstheme="minorHAnsi"/>
          <w:sz w:val="20"/>
          <w:szCs w:val="20"/>
        </w:rPr>
      </w:pPr>
      <w:r>
        <w:rPr>
          <w:rFonts w:asciiTheme="minorHAnsi" w:hAnsiTheme="minorHAnsi" w:cstheme="minorHAnsi"/>
          <w:sz w:val="20"/>
          <w:szCs w:val="20"/>
        </w:rPr>
        <w:t>Direction générale de l’enseignement obligatoire</w:t>
      </w:r>
    </w:p>
    <w:p>
      <w:pPr>
        <w:jc w:val="center"/>
        <w:rPr>
          <w:rFonts w:asciiTheme="minorHAnsi" w:hAnsiTheme="minorHAnsi" w:cstheme="minorHAnsi"/>
          <w:sz w:val="20"/>
          <w:szCs w:val="20"/>
        </w:rPr>
      </w:pPr>
      <w:r>
        <w:rPr>
          <w:rFonts w:asciiTheme="minorHAnsi" w:hAnsiTheme="minorHAnsi" w:cstheme="minorHAnsi"/>
          <w:sz w:val="20"/>
          <w:szCs w:val="20"/>
        </w:rPr>
        <w:t>Direction « Relation Ecoles – Monde du Travail »</w:t>
      </w:r>
    </w:p>
    <w:p>
      <w:pPr>
        <w:jc w:val="center"/>
        <w:rPr>
          <w:rFonts w:asciiTheme="minorHAnsi" w:hAnsiTheme="minorHAnsi" w:cstheme="minorHAnsi"/>
          <w:sz w:val="20"/>
          <w:szCs w:val="20"/>
        </w:rPr>
      </w:pPr>
      <w:r>
        <w:rPr>
          <w:rFonts w:asciiTheme="minorHAnsi" w:hAnsiTheme="minorHAnsi" w:cstheme="minorHAnsi"/>
          <w:sz w:val="20"/>
          <w:szCs w:val="20"/>
        </w:rPr>
        <w:t>Service Fonds d’équipement, CTA et Cadastre</w:t>
      </w:r>
    </w:p>
    <w:p>
      <w:pPr>
        <w:jc w:val="center"/>
        <w:rPr>
          <w:rFonts w:asciiTheme="minorHAnsi" w:hAnsiTheme="minorHAnsi" w:cstheme="minorHAnsi"/>
          <w:sz w:val="20"/>
          <w:szCs w:val="20"/>
        </w:rPr>
      </w:pPr>
      <w:r>
        <w:rPr>
          <w:rFonts w:asciiTheme="minorHAnsi" w:hAnsiTheme="minorHAnsi" w:cstheme="minorHAnsi"/>
          <w:sz w:val="20"/>
          <w:szCs w:val="20"/>
        </w:rPr>
        <w:t>Bureau 1 F 130</w:t>
      </w:r>
    </w:p>
    <w:p>
      <w:pPr>
        <w:jc w:val="center"/>
        <w:rPr>
          <w:rFonts w:asciiTheme="minorHAnsi" w:hAnsiTheme="minorHAnsi" w:cstheme="minorHAnsi"/>
          <w:sz w:val="20"/>
          <w:szCs w:val="20"/>
        </w:rPr>
      </w:pPr>
      <w:r>
        <w:rPr>
          <w:rFonts w:asciiTheme="minorHAnsi" w:hAnsiTheme="minorHAnsi" w:cstheme="minorHAnsi"/>
          <w:sz w:val="20"/>
          <w:szCs w:val="20"/>
        </w:rPr>
        <w:t>Rue A Lavallée 1</w:t>
      </w:r>
    </w:p>
    <w:p>
      <w:pPr>
        <w:rPr>
          <w:rFonts w:ascii="Calibri" w:hAnsi="Calibri" w:cs="Calibri"/>
          <w:b/>
          <w:sz w:val="28"/>
          <w:szCs w:val="28"/>
        </w:rPr>
      </w:pPr>
      <w:r>
        <w:rPr>
          <w:rFonts w:asciiTheme="minorHAnsi" w:hAnsiTheme="minorHAnsi" w:cstheme="minorHAnsi"/>
          <w:sz w:val="20"/>
          <w:szCs w:val="20"/>
        </w:rPr>
        <w:t>1080 Bruxelles</w:t>
      </w:r>
      <w:r>
        <w:rPr>
          <w:rFonts w:ascii="Calibri" w:hAnsi="Calibri" w:cs="Calibri"/>
          <w:b/>
          <w:sz w:val="28"/>
          <w:szCs w:val="28"/>
        </w:rPr>
        <w:br w:type="page"/>
      </w:r>
    </w:p>
    <w:p>
      <w:pPr>
        <w:numPr>
          <w:ilvl w:val="1"/>
          <w:numId w:val="56"/>
        </w:numPr>
        <w:spacing w:before="240" w:after="240"/>
        <w:ind w:left="709"/>
        <w:jc w:val="both"/>
        <w:rPr>
          <w:rFonts w:ascii="Calibri" w:hAnsi="Calibri" w:cs="Calibri"/>
          <w:b/>
          <w:smallCaps/>
          <w:sz w:val="32"/>
          <w:szCs w:val="32"/>
        </w:rPr>
      </w:pPr>
      <w:r>
        <w:rPr>
          <w:rFonts w:ascii="Calibri" w:hAnsi="Calibri" w:cs="Calibri"/>
          <w:b/>
          <w:smallCaps/>
          <w:sz w:val="32"/>
          <w:szCs w:val="32"/>
        </w:rPr>
        <w:lastRenderedPageBreak/>
        <w:t>Dommages occasionnés aux équipements acquis par la Fédération Wallonie-Bruxelles</w:t>
      </w:r>
    </w:p>
    <w:p>
      <w:pPr>
        <w:spacing w:after="120"/>
        <w:jc w:val="both"/>
        <w:rPr>
          <w:rFonts w:ascii="Calibri" w:hAnsi="Calibri" w:cs="Calibri"/>
          <w:sz w:val="20"/>
          <w:szCs w:val="20"/>
        </w:rPr>
      </w:pPr>
      <w:r>
        <w:rPr>
          <w:rFonts w:asciiTheme="minorHAnsi" w:hAnsiTheme="minorHAnsi" w:cstheme="minorHAnsi"/>
          <w:sz w:val="20"/>
          <w:szCs w:val="20"/>
        </w:rPr>
        <w:t xml:space="preserve">L’ensemble du matériel acquis par la Fédération Wallonie-Bruxelles et mis à disposition des CTA est assuré par ses soins. </w:t>
      </w:r>
    </w:p>
    <w:p>
      <w:pPr>
        <w:pBdr>
          <w:top w:val="single" w:sz="4" w:space="1" w:color="auto"/>
          <w:left w:val="single" w:sz="4" w:space="4" w:color="auto"/>
          <w:bottom w:val="single" w:sz="4" w:space="1" w:color="auto"/>
          <w:right w:val="single" w:sz="4" w:space="4" w:color="auto"/>
        </w:pBdr>
        <w:spacing w:after="120"/>
        <w:jc w:val="both"/>
        <w:rPr>
          <w:rFonts w:ascii="Calibri" w:hAnsi="Calibri" w:cs="Calibri"/>
          <w:sz w:val="20"/>
          <w:szCs w:val="20"/>
        </w:rPr>
      </w:pPr>
      <w:r>
        <w:rPr>
          <w:rFonts w:ascii="Calibri" w:hAnsi="Calibri" w:cs="Calibri"/>
          <w:sz w:val="20"/>
          <w:szCs w:val="20"/>
        </w:rPr>
        <w:t xml:space="preserve">Il est toutefois rappelé que les coordonnateurs d’un CTA ont la mission de prendre soin des équipements en </w:t>
      </w:r>
      <w:r>
        <w:rPr>
          <w:rFonts w:ascii="Calibri" w:hAnsi="Calibri" w:cs="Calibri"/>
          <w:b/>
          <w:bCs/>
          <w:sz w:val="20"/>
          <w:szCs w:val="20"/>
        </w:rPr>
        <w:t>bon père de famille</w:t>
      </w:r>
      <w:r>
        <w:rPr>
          <w:rFonts w:ascii="Calibri" w:hAnsi="Calibri" w:cs="Calibri"/>
          <w:sz w:val="20"/>
          <w:szCs w:val="20"/>
        </w:rPr>
        <w:t xml:space="preserve">. Il convient cependant de garder à l’esprit que la Fédération Wallonie-Bruxelles reste </w:t>
      </w:r>
      <w:r>
        <w:rPr>
          <w:rFonts w:ascii="Calibri" w:hAnsi="Calibri" w:cs="Calibri"/>
          <w:b/>
          <w:bCs/>
          <w:sz w:val="20"/>
          <w:szCs w:val="20"/>
          <w:u w:val="single"/>
        </w:rPr>
        <w:t>propriétaire des équipements</w:t>
      </w:r>
      <w:r>
        <w:rPr>
          <w:rFonts w:ascii="Calibri" w:hAnsi="Calibri" w:cs="Calibri"/>
          <w:sz w:val="20"/>
          <w:szCs w:val="20"/>
        </w:rPr>
        <w:t xml:space="preserve"> (sauf bien sûr pour les équipements des CTA bruxellois acquis dans le cadre de la programmation FEDER 2007-2013, soit jusqu’au 31/12/2013</w:t>
      </w:r>
      <w:r>
        <w:rPr>
          <w:rFonts w:ascii="Calibri" w:hAnsi="Calibri" w:cs="Calibri"/>
          <w:b/>
          <w:bCs/>
          <w:sz w:val="20"/>
          <w:szCs w:val="20"/>
        </w:rPr>
        <w:t>)</w:t>
      </w:r>
      <w:r>
        <w:rPr>
          <w:rFonts w:ascii="Calibri" w:hAnsi="Calibri" w:cs="Calibri"/>
          <w:sz w:val="20"/>
          <w:szCs w:val="20"/>
        </w:rPr>
        <w:t xml:space="preserve">. </w:t>
      </w:r>
    </w:p>
    <w:p>
      <w:pPr>
        <w:pBdr>
          <w:top w:val="single" w:sz="4" w:space="1" w:color="auto"/>
          <w:left w:val="single" w:sz="4" w:space="4" w:color="auto"/>
          <w:bottom w:val="single" w:sz="4" w:space="1" w:color="auto"/>
          <w:right w:val="single" w:sz="4" w:space="4" w:color="auto"/>
        </w:pBdr>
        <w:spacing w:after="120"/>
        <w:jc w:val="both"/>
        <w:rPr>
          <w:rFonts w:ascii="Calibri" w:hAnsi="Calibri" w:cs="Calibri"/>
          <w:sz w:val="20"/>
          <w:szCs w:val="20"/>
        </w:rPr>
      </w:pPr>
      <w:r>
        <w:rPr>
          <w:rFonts w:ascii="Calibri" w:hAnsi="Calibri" w:cs="Calibri"/>
          <w:sz w:val="20"/>
          <w:szCs w:val="20"/>
        </w:rPr>
        <w:t xml:space="preserve">Il est donc impératif d’obtenir l’autorisation de la Fédération </w:t>
      </w:r>
      <w:r>
        <w:rPr>
          <w:rFonts w:ascii="Calibri" w:hAnsi="Calibri" w:cs="Calibri"/>
          <w:b/>
          <w:bCs/>
          <w:sz w:val="20"/>
          <w:szCs w:val="20"/>
          <w:u w:val="single"/>
        </w:rPr>
        <w:t>AVANT</w:t>
      </w:r>
      <w:r>
        <w:rPr>
          <w:rFonts w:ascii="Calibri" w:hAnsi="Calibri" w:cs="Calibri"/>
          <w:sz w:val="20"/>
          <w:szCs w:val="20"/>
        </w:rPr>
        <w:t xml:space="preserve"> d’entreprendre quelque réparation ou remplacement que ce soit.</w:t>
      </w:r>
    </w:p>
    <w:p>
      <w:pPr>
        <w:spacing w:after="120"/>
        <w:jc w:val="both"/>
        <w:rPr>
          <w:rFonts w:asciiTheme="minorHAnsi" w:hAnsiTheme="minorHAnsi" w:cstheme="minorHAnsi"/>
          <w:sz w:val="20"/>
          <w:szCs w:val="20"/>
        </w:rPr>
      </w:pPr>
      <w:r>
        <w:rPr>
          <w:rFonts w:asciiTheme="minorHAnsi" w:hAnsiTheme="minorHAnsi" w:cstheme="minorHAnsi"/>
          <w:sz w:val="20"/>
          <w:szCs w:val="20"/>
        </w:rPr>
        <w:t>En cas de dommage, il convient donc de respecter la procédure suivante :</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Etablir le type de dommage</w:t>
      </w:r>
    </w:p>
    <w:p>
      <w:pPr>
        <w:spacing w:after="120"/>
        <w:jc w:val="both"/>
        <w:rPr>
          <w:rFonts w:ascii="Calibri" w:hAnsi="Calibri" w:cs="Calibri"/>
          <w:b/>
          <w:bCs/>
          <w:sz w:val="20"/>
          <w:szCs w:val="20"/>
          <w:u w:val="single"/>
        </w:rPr>
      </w:pPr>
      <w:r>
        <w:rPr>
          <w:rFonts w:ascii="Calibri" w:hAnsi="Calibri" w:cs="Calibri"/>
          <w:sz w:val="20"/>
          <w:szCs w:val="20"/>
        </w:rPr>
        <w:t xml:space="preserve">Dans tous les cas, et quel que soit le problème survenu à un ou plusieurs des équipements mis à disposition, il convient, </w:t>
      </w:r>
      <w:r>
        <w:rPr>
          <w:rFonts w:ascii="Calibri" w:hAnsi="Calibri" w:cs="Calibri"/>
          <w:b/>
          <w:bCs/>
          <w:sz w:val="20"/>
          <w:szCs w:val="20"/>
          <w:u w:val="single"/>
        </w:rPr>
        <w:t>EN PREMIER LIEU, de toujours prévenir l’administration dans les meilleurs délais.</w:t>
      </w:r>
    </w:p>
    <w:p>
      <w:pPr>
        <w:spacing w:after="120"/>
        <w:jc w:val="both"/>
        <w:rPr>
          <w:rFonts w:ascii="Calibri" w:hAnsi="Calibri" w:cs="Calibri"/>
          <w:sz w:val="20"/>
          <w:szCs w:val="20"/>
        </w:rPr>
      </w:pPr>
      <w:r>
        <w:rPr>
          <w:rFonts w:ascii="Calibri" w:hAnsi="Calibri" w:cs="Calibri"/>
          <w:sz w:val="20"/>
          <w:szCs w:val="20"/>
        </w:rPr>
        <w:t>Pour cela, il faut envoyer un mail en décrivant au mieux le problème constaté à Florence MARCELLI (</w:t>
      </w:r>
      <w:hyperlink r:id="rId14" w:history="1">
        <w:r>
          <w:rPr>
            <w:rStyle w:val="Lienhypertexte"/>
            <w:rFonts w:ascii="Calibri" w:hAnsi="Calibri" w:cs="Calibri"/>
            <w:sz w:val="20"/>
            <w:szCs w:val="20"/>
          </w:rPr>
          <w:t>florence.marcelli@cfwb.be</w:t>
        </w:r>
      </w:hyperlink>
      <w:r>
        <w:rPr>
          <w:rFonts w:ascii="Calibri" w:hAnsi="Calibri" w:cs="Calibri"/>
          <w:sz w:val="20"/>
          <w:szCs w:val="20"/>
        </w:rPr>
        <w:t xml:space="preserve">) </w:t>
      </w:r>
      <w:r>
        <w:rPr>
          <w:rFonts w:ascii="Calibri" w:hAnsi="Calibri" w:cs="Calibri"/>
          <w:b/>
          <w:bCs/>
          <w:i/>
          <w:iCs/>
          <w:sz w:val="20"/>
          <w:szCs w:val="20"/>
          <w:u w:val="single"/>
        </w:rPr>
        <w:t>ET</w:t>
      </w:r>
      <w:r>
        <w:rPr>
          <w:rFonts w:ascii="Calibri" w:hAnsi="Calibri" w:cs="Calibri"/>
          <w:sz w:val="20"/>
          <w:szCs w:val="20"/>
        </w:rPr>
        <w:t xml:space="preserve"> au chargé de mission CTA, à savoir :</w:t>
      </w:r>
    </w:p>
    <w:p>
      <w:pPr>
        <w:pStyle w:val="Paragraphedeliste"/>
        <w:numPr>
          <w:ilvl w:val="0"/>
          <w:numId w:val="134"/>
        </w:numPr>
        <w:spacing w:after="120"/>
        <w:ind w:left="714" w:hanging="357"/>
        <w:jc w:val="both"/>
        <w:rPr>
          <w:rFonts w:ascii="Calibri" w:hAnsi="Calibri" w:cs="Calibri"/>
          <w:sz w:val="20"/>
          <w:szCs w:val="20"/>
        </w:rPr>
      </w:pPr>
      <w:r>
        <w:rPr>
          <w:rFonts w:ascii="Calibri" w:hAnsi="Calibri" w:cs="Calibri"/>
          <w:sz w:val="20"/>
          <w:szCs w:val="20"/>
        </w:rPr>
        <w:t>pour les CTA du réseau libre confessionnel : Eddy DE GELEAN (</w:t>
      </w:r>
      <w:hyperlink r:id="rId15" w:history="1">
        <w:r>
          <w:rPr>
            <w:rStyle w:val="Lienhypertexte"/>
            <w:rFonts w:ascii="Calibri" w:hAnsi="Calibri" w:cs="Calibri"/>
            <w:sz w:val="20"/>
            <w:szCs w:val="20"/>
          </w:rPr>
          <w:t>eddy.degelaen@cfwb.be</w:t>
        </w:r>
      </w:hyperlink>
      <w:r>
        <w:rPr>
          <w:rFonts w:ascii="Calibri" w:hAnsi="Calibri" w:cs="Calibri"/>
          <w:sz w:val="20"/>
          <w:szCs w:val="20"/>
        </w:rPr>
        <w:t>) ;</w:t>
      </w:r>
    </w:p>
    <w:p>
      <w:pPr>
        <w:pStyle w:val="Paragraphedeliste"/>
        <w:numPr>
          <w:ilvl w:val="0"/>
          <w:numId w:val="134"/>
        </w:numPr>
        <w:spacing w:after="120"/>
        <w:ind w:left="714" w:hanging="357"/>
        <w:jc w:val="both"/>
        <w:rPr>
          <w:rFonts w:ascii="Calibri" w:hAnsi="Calibri" w:cs="Calibri"/>
          <w:sz w:val="20"/>
          <w:szCs w:val="20"/>
        </w:rPr>
      </w:pPr>
      <w:r>
        <w:rPr>
          <w:rFonts w:ascii="Calibri" w:hAnsi="Calibri" w:cs="Calibri"/>
          <w:sz w:val="20"/>
          <w:szCs w:val="20"/>
        </w:rPr>
        <w:t xml:space="preserve">pour les CTA du réseau officiel subventionné : </w:t>
      </w:r>
      <w:r>
        <w:rPr>
          <w:rStyle w:val="Lienhypertexte"/>
          <w:rFonts w:ascii="Calibri" w:hAnsi="Calibri" w:cs="Calibri"/>
          <w:color w:val="auto"/>
          <w:sz w:val="20"/>
          <w:szCs w:val="20"/>
          <w:u w:val="none"/>
        </w:rPr>
        <w:t>en</w:t>
      </w:r>
      <w:r>
        <w:rPr>
          <w:rFonts w:ascii="Calibri" w:hAnsi="Calibri" w:cs="Calibri"/>
          <w:sz w:val="20"/>
          <w:szCs w:val="20"/>
        </w:rPr>
        <w:t xml:space="preserve"> cours de sélection ;</w:t>
      </w:r>
    </w:p>
    <w:p>
      <w:pPr>
        <w:pStyle w:val="Paragraphedeliste"/>
        <w:numPr>
          <w:ilvl w:val="0"/>
          <w:numId w:val="134"/>
        </w:numPr>
        <w:spacing w:after="120"/>
        <w:ind w:left="714" w:hanging="357"/>
        <w:jc w:val="both"/>
        <w:rPr>
          <w:rFonts w:ascii="Calibri" w:hAnsi="Calibri" w:cs="Calibri"/>
          <w:sz w:val="20"/>
          <w:szCs w:val="20"/>
        </w:rPr>
      </w:pPr>
      <w:r>
        <w:rPr>
          <w:rFonts w:ascii="Calibri" w:hAnsi="Calibri" w:cs="Calibri"/>
          <w:sz w:val="20"/>
          <w:szCs w:val="20"/>
        </w:rPr>
        <w:t>pour les CTA du réseau officiel : Bernard HAVAUX (</w:t>
      </w:r>
      <w:hyperlink r:id="rId16" w:history="1">
        <w:r>
          <w:rPr>
            <w:rStyle w:val="Lienhypertexte"/>
            <w:rFonts w:ascii="Calibri" w:hAnsi="Calibri" w:cs="Calibri"/>
            <w:sz w:val="20"/>
            <w:szCs w:val="20"/>
          </w:rPr>
          <w:t>bernard.havaux@cfwb.be</w:t>
        </w:r>
      </w:hyperlink>
      <w:r>
        <w:rPr>
          <w:rFonts w:ascii="Calibri" w:hAnsi="Calibri" w:cs="Calibri"/>
          <w:sz w:val="20"/>
          <w:szCs w:val="20"/>
        </w:rPr>
        <w:t>).</w:t>
      </w:r>
    </w:p>
    <w:p>
      <w:pPr>
        <w:spacing w:after="120"/>
        <w:jc w:val="both"/>
        <w:rPr>
          <w:rFonts w:ascii="Calibri" w:hAnsi="Calibri" w:cs="Calibri"/>
          <w:sz w:val="20"/>
          <w:szCs w:val="20"/>
        </w:rPr>
      </w:pPr>
      <w:r>
        <w:rPr>
          <w:rFonts w:ascii="Calibri" w:hAnsi="Calibri" w:cs="Calibri"/>
          <w:sz w:val="20"/>
          <w:szCs w:val="20"/>
        </w:rPr>
        <w:t>Les informations suivantes doivent obligatoirement être communiquées :</w:t>
      </w:r>
    </w:p>
    <w:p>
      <w:pPr>
        <w:pStyle w:val="Paragraphedeliste"/>
        <w:numPr>
          <w:ilvl w:val="0"/>
          <w:numId w:val="133"/>
        </w:numPr>
        <w:spacing w:after="120"/>
        <w:ind w:left="714" w:hanging="357"/>
        <w:jc w:val="both"/>
        <w:rPr>
          <w:rFonts w:ascii="Calibri" w:hAnsi="Calibri" w:cs="Calibri"/>
          <w:sz w:val="20"/>
          <w:szCs w:val="20"/>
        </w:rPr>
      </w:pPr>
      <w:r>
        <w:rPr>
          <w:rFonts w:ascii="Calibri" w:hAnsi="Calibri" w:cs="Calibri"/>
          <w:sz w:val="20"/>
          <w:szCs w:val="20"/>
        </w:rPr>
        <w:t>Type de dommage</w:t>
      </w:r>
    </w:p>
    <w:p>
      <w:pPr>
        <w:pStyle w:val="Paragraphedeliste"/>
        <w:numPr>
          <w:ilvl w:val="0"/>
          <w:numId w:val="133"/>
        </w:numPr>
        <w:spacing w:after="120"/>
        <w:ind w:left="714" w:hanging="357"/>
        <w:jc w:val="both"/>
        <w:rPr>
          <w:rFonts w:ascii="Calibri" w:hAnsi="Calibri" w:cs="Calibri"/>
          <w:sz w:val="20"/>
          <w:szCs w:val="20"/>
        </w:rPr>
      </w:pPr>
      <w:r>
        <w:rPr>
          <w:rFonts w:ascii="Calibri" w:hAnsi="Calibri" w:cs="Calibri"/>
          <w:sz w:val="20"/>
          <w:szCs w:val="20"/>
        </w:rPr>
        <w:t>Date du constat du dommage</w:t>
      </w:r>
    </w:p>
    <w:p>
      <w:pPr>
        <w:pStyle w:val="Paragraphedeliste"/>
        <w:numPr>
          <w:ilvl w:val="0"/>
          <w:numId w:val="133"/>
        </w:numPr>
        <w:spacing w:after="120"/>
        <w:ind w:left="714" w:hanging="357"/>
        <w:jc w:val="both"/>
        <w:rPr>
          <w:rFonts w:ascii="Calibri" w:hAnsi="Calibri" w:cs="Calibri"/>
          <w:sz w:val="20"/>
          <w:szCs w:val="20"/>
        </w:rPr>
      </w:pPr>
      <w:r>
        <w:rPr>
          <w:rFonts w:ascii="Calibri" w:hAnsi="Calibri" w:cs="Calibri"/>
          <w:sz w:val="20"/>
          <w:szCs w:val="20"/>
        </w:rPr>
        <w:t>Références de l'équipement endommagé</w:t>
      </w:r>
    </w:p>
    <w:p>
      <w:pPr>
        <w:pStyle w:val="Paragraphedeliste"/>
        <w:numPr>
          <w:ilvl w:val="0"/>
          <w:numId w:val="133"/>
        </w:numPr>
        <w:spacing w:after="120"/>
        <w:ind w:left="714" w:hanging="357"/>
        <w:jc w:val="both"/>
        <w:rPr>
          <w:rFonts w:ascii="Calibri" w:hAnsi="Calibri" w:cs="Calibri"/>
          <w:sz w:val="20"/>
          <w:szCs w:val="20"/>
        </w:rPr>
      </w:pPr>
      <w:r>
        <w:rPr>
          <w:rFonts w:ascii="Calibri" w:hAnsi="Calibri" w:cs="Calibri"/>
          <w:sz w:val="20"/>
          <w:szCs w:val="20"/>
        </w:rPr>
        <w:t>Toute information pertinente permettant d’établir les circonstances du dommage</w:t>
      </w:r>
    </w:p>
    <w:p>
      <w:pPr>
        <w:pStyle w:val="Paragraphedeliste"/>
        <w:numPr>
          <w:ilvl w:val="0"/>
          <w:numId w:val="133"/>
        </w:numPr>
        <w:spacing w:after="120"/>
        <w:ind w:left="714" w:hanging="357"/>
        <w:jc w:val="both"/>
        <w:rPr>
          <w:rFonts w:ascii="Calibri" w:hAnsi="Calibri" w:cs="Calibri"/>
          <w:sz w:val="20"/>
          <w:szCs w:val="20"/>
        </w:rPr>
      </w:pPr>
      <w:r>
        <w:rPr>
          <w:rFonts w:ascii="Calibri" w:hAnsi="Calibri" w:cs="Calibri"/>
          <w:sz w:val="20"/>
          <w:szCs w:val="20"/>
        </w:rPr>
        <w:t>Date d’achat de l’équipement</w:t>
      </w:r>
    </w:p>
    <w:p>
      <w:pPr>
        <w:pStyle w:val="Paragraphedeliste"/>
        <w:numPr>
          <w:ilvl w:val="0"/>
          <w:numId w:val="133"/>
        </w:numPr>
        <w:spacing w:after="120"/>
        <w:ind w:left="714" w:hanging="357"/>
        <w:jc w:val="both"/>
        <w:rPr>
          <w:rFonts w:ascii="Calibri" w:hAnsi="Calibri" w:cs="Calibri"/>
          <w:sz w:val="20"/>
          <w:szCs w:val="20"/>
        </w:rPr>
      </w:pPr>
      <w:r>
        <w:rPr>
          <w:rFonts w:ascii="Calibri" w:hAnsi="Calibri" w:cs="Calibri"/>
          <w:sz w:val="20"/>
          <w:szCs w:val="20"/>
        </w:rPr>
        <w:t>Facture d’achat</w:t>
      </w:r>
    </w:p>
    <w:p>
      <w:pPr>
        <w:pStyle w:val="Paragraphedeliste"/>
        <w:numPr>
          <w:ilvl w:val="0"/>
          <w:numId w:val="133"/>
        </w:numPr>
        <w:spacing w:after="120"/>
        <w:ind w:left="714" w:hanging="357"/>
        <w:jc w:val="both"/>
        <w:rPr>
          <w:rFonts w:ascii="Calibri" w:hAnsi="Calibri" w:cs="Calibri"/>
          <w:sz w:val="20"/>
          <w:szCs w:val="20"/>
        </w:rPr>
      </w:pPr>
      <w:r>
        <w:rPr>
          <w:rFonts w:ascii="Calibri" w:hAnsi="Calibri" w:cs="Calibri"/>
          <w:sz w:val="20"/>
          <w:szCs w:val="20"/>
        </w:rPr>
        <w:t>PV de réception de l’équipement au moment de l’achat</w:t>
      </w:r>
    </w:p>
    <w:p>
      <w:pPr>
        <w:pStyle w:val="Paragraphedeliste"/>
        <w:numPr>
          <w:ilvl w:val="0"/>
          <w:numId w:val="133"/>
        </w:numPr>
        <w:spacing w:after="120"/>
        <w:ind w:left="714" w:hanging="357"/>
        <w:jc w:val="both"/>
        <w:rPr>
          <w:rFonts w:ascii="Calibri" w:hAnsi="Calibri" w:cs="Calibri"/>
          <w:sz w:val="20"/>
          <w:szCs w:val="20"/>
        </w:rPr>
      </w:pPr>
      <w:r>
        <w:rPr>
          <w:rFonts w:ascii="Calibri" w:hAnsi="Calibri" w:cs="Calibri"/>
          <w:sz w:val="20"/>
          <w:szCs w:val="20"/>
        </w:rPr>
        <w:t>Durée de la garantie si spécifié (sinon généralement 2 ans)</w:t>
      </w:r>
    </w:p>
    <w:p>
      <w:pPr>
        <w:spacing w:after="120"/>
        <w:jc w:val="both"/>
        <w:rPr>
          <w:rFonts w:ascii="Calibri" w:hAnsi="Calibri" w:cs="Calibri"/>
          <w:sz w:val="20"/>
          <w:szCs w:val="20"/>
        </w:rPr>
      </w:pPr>
      <w:r>
        <w:rPr>
          <w:rFonts w:ascii="Calibri" w:hAnsi="Calibri" w:cs="Calibri"/>
          <w:sz w:val="20"/>
          <w:szCs w:val="20"/>
        </w:rPr>
        <w:t>Les objectifs de ce premier échange sont :</w:t>
      </w:r>
    </w:p>
    <w:p>
      <w:pPr>
        <w:pStyle w:val="Paragraphedeliste"/>
        <w:numPr>
          <w:ilvl w:val="0"/>
          <w:numId w:val="133"/>
        </w:numPr>
        <w:spacing w:after="120"/>
        <w:ind w:left="714" w:hanging="357"/>
        <w:jc w:val="both"/>
        <w:rPr>
          <w:rFonts w:ascii="Calibri" w:hAnsi="Calibri" w:cs="Calibri"/>
          <w:sz w:val="20"/>
          <w:szCs w:val="20"/>
        </w:rPr>
      </w:pPr>
      <w:r>
        <w:rPr>
          <w:rFonts w:ascii="Calibri" w:hAnsi="Calibri" w:cs="Calibri"/>
          <w:sz w:val="20"/>
          <w:szCs w:val="20"/>
        </w:rPr>
        <w:t>de poser un diagnostic sur la nature du dommage et le type d’intervention nécessaire</w:t>
      </w:r>
    </w:p>
    <w:p>
      <w:pPr>
        <w:pStyle w:val="Paragraphedeliste"/>
        <w:numPr>
          <w:ilvl w:val="0"/>
          <w:numId w:val="133"/>
        </w:numPr>
        <w:spacing w:after="120"/>
        <w:ind w:left="714" w:hanging="357"/>
        <w:jc w:val="both"/>
        <w:rPr>
          <w:rFonts w:ascii="Calibri" w:hAnsi="Calibri" w:cs="Calibri"/>
          <w:sz w:val="20"/>
          <w:szCs w:val="20"/>
        </w:rPr>
      </w:pPr>
      <w:r>
        <w:rPr>
          <w:rFonts w:ascii="Calibri" w:hAnsi="Calibri" w:cs="Calibri"/>
          <w:sz w:val="20"/>
          <w:szCs w:val="20"/>
        </w:rPr>
        <w:t>d’estimer le montant des dépenses associées</w:t>
      </w:r>
    </w:p>
    <w:p>
      <w:pPr>
        <w:pStyle w:val="Paragraphedeliste"/>
        <w:numPr>
          <w:ilvl w:val="0"/>
          <w:numId w:val="133"/>
        </w:numPr>
        <w:spacing w:after="120"/>
        <w:ind w:left="714" w:hanging="357"/>
        <w:jc w:val="both"/>
        <w:rPr>
          <w:rFonts w:ascii="Calibri" w:hAnsi="Calibri" w:cs="Calibri"/>
          <w:sz w:val="20"/>
          <w:szCs w:val="20"/>
        </w:rPr>
      </w:pPr>
      <w:r>
        <w:rPr>
          <w:rFonts w:ascii="Calibri" w:hAnsi="Calibri" w:cs="Calibri"/>
          <w:sz w:val="20"/>
          <w:szCs w:val="20"/>
        </w:rPr>
        <w:t xml:space="preserve">de déterminer, en collaboration avec l’administration, les démarches à entamer et par qui </w:t>
      </w:r>
    </w:p>
    <w:p>
      <w:pPr>
        <w:spacing w:after="120"/>
        <w:jc w:val="both"/>
        <w:rPr>
          <w:rFonts w:ascii="Calibri" w:hAnsi="Calibri" w:cs="Calibri"/>
          <w:sz w:val="20"/>
          <w:szCs w:val="20"/>
        </w:rPr>
      </w:pPr>
      <w:r>
        <w:rPr>
          <w:rFonts w:ascii="Calibri" w:hAnsi="Calibri" w:cs="Calibri"/>
          <w:sz w:val="20"/>
          <w:szCs w:val="20"/>
        </w:rPr>
        <w:t>Les différents types de dommages rencontrés sont les suivants :</w:t>
      </w:r>
    </w:p>
    <w:p>
      <w:pPr>
        <w:pStyle w:val="Paragraphedeliste"/>
        <w:numPr>
          <w:ilvl w:val="0"/>
          <w:numId w:val="96"/>
        </w:numPr>
        <w:spacing w:after="120"/>
        <w:ind w:left="714" w:hanging="357"/>
        <w:jc w:val="both"/>
        <w:rPr>
          <w:rFonts w:ascii="Calibri" w:hAnsi="Calibri" w:cs="Calibri"/>
          <w:sz w:val="20"/>
          <w:szCs w:val="20"/>
        </w:rPr>
      </w:pPr>
      <w:r>
        <w:rPr>
          <w:rFonts w:ascii="Calibri" w:hAnsi="Calibri" w:cs="Calibri"/>
          <w:sz w:val="20"/>
          <w:szCs w:val="20"/>
        </w:rPr>
        <w:t>Panne</w:t>
      </w:r>
    </w:p>
    <w:p>
      <w:pPr>
        <w:pStyle w:val="Paragraphedeliste"/>
        <w:numPr>
          <w:ilvl w:val="0"/>
          <w:numId w:val="96"/>
        </w:numPr>
        <w:spacing w:after="120"/>
        <w:ind w:left="714" w:hanging="357"/>
        <w:jc w:val="both"/>
        <w:rPr>
          <w:rFonts w:ascii="Calibri" w:hAnsi="Calibri" w:cs="Calibri"/>
          <w:sz w:val="20"/>
          <w:szCs w:val="20"/>
        </w:rPr>
      </w:pPr>
      <w:r>
        <w:rPr>
          <w:rFonts w:ascii="Calibri" w:hAnsi="Calibri" w:cs="Calibri"/>
          <w:sz w:val="20"/>
          <w:szCs w:val="20"/>
        </w:rPr>
        <w:t>Casse</w:t>
      </w:r>
    </w:p>
    <w:p>
      <w:pPr>
        <w:pStyle w:val="Paragraphedeliste"/>
        <w:numPr>
          <w:ilvl w:val="0"/>
          <w:numId w:val="96"/>
        </w:numPr>
        <w:spacing w:after="120"/>
        <w:ind w:left="714" w:hanging="357"/>
        <w:jc w:val="both"/>
        <w:rPr>
          <w:rFonts w:ascii="Calibri" w:hAnsi="Calibri" w:cs="Calibri"/>
          <w:sz w:val="20"/>
          <w:szCs w:val="20"/>
        </w:rPr>
      </w:pPr>
      <w:r>
        <w:rPr>
          <w:rFonts w:ascii="Calibri" w:hAnsi="Calibri" w:cs="Calibri"/>
          <w:sz w:val="20"/>
          <w:szCs w:val="20"/>
        </w:rPr>
        <w:t>Usure</w:t>
      </w:r>
    </w:p>
    <w:p>
      <w:pPr>
        <w:pStyle w:val="Paragraphedeliste"/>
        <w:numPr>
          <w:ilvl w:val="0"/>
          <w:numId w:val="96"/>
        </w:numPr>
        <w:spacing w:after="120"/>
        <w:ind w:left="714" w:hanging="357"/>
        <w:jc w:val="both"/>
        <w:rPr>
          <w:rFonts w:ascii="Calibri" w:hAnsi="Calibri" w:cs="Calibri"/>
          <w:sz w:val="20"/>
          <w:szCs w:val="20"/>
        </w:rPr>
      </w:pPr>
      <w:r>
        <w:rPr>
          <w:rFonts w:ascii="Calibri" w:hAnsi="Calibri" w:cs="Calibri"/>
          <w:sz w:val="20"/>
          <w:szCs w:val="20"/>
        </w:rPr>
        <w:t>Sinistre</w:t>
      </w:r>
    </w:p>
    <w:p>
      <w:pPr>
        <w:pStyle w:val="Paragraphedeliste"/>
        <w:numPr>
          <w:ilvl w:val="0"/>
          <w:numId w:val="96"/>
        </w:numPr>
        <w:ind w:left="714" w:hanging="357"/>
        <w:jc w:val="both"/>
        <w:rPr>
          <w:rFonts w:ascii="Calibri" w:hAnsi="Calibri" w:cs="Calibri"/>
          <w:sz w:val="20"/>
          <w:szCs w:val="20"/>
        </w:rPr>
      </w:pPr>
      <w:r>
        <w:rPr>
          <w:rFonts w:ascii="Calibri" w:hAnsi="Calibri" w:cs="Calibri"/>
          <w:sz w:val="20"/>
          <w:szCs w:val="20"/>
        </w:rPr>
        <w:t>Vol ou disparition</w:t>
      </w:r>
    </w:p>
    <w:p>
      <w:pPr>
        <w:rPr>
          <w:rFonts w:ascii="Calibri" w:hAnsi="Calibri" w:cs="Calibri"/>
          <w:sz w:val="20"/>
          <w:szCs w:val="20"/>
        </w:rPr>
      </w:pPr>
      <w:r>
        <w:rPr>
          <w:rFonts w:ascii="Calibri" w:hAnsi="Calibri" w:cs="Calibri"/>
          <w:sz w:val="20"/>
          <w:szCs w:val="20"/>
        </w:rPr>
        <w:br w:type="page"/>
      </w:r>
    </w:p>
    <w:p>
      <w:pPr>
        <w:pStyle w:val="Paragraphedeliste"/>
        <w:numPr>
          <w:ilvl w:val="3"/>
          <w:numId w:val="56"/>
        </w:numPr>
        <w:tabs>
          <w:tab w:val="left" w:pos="1134"/>
        </w:tabs>
        <w:spacing w:before="240" w:after="240"/>
        <w:ind w:left="1134" w:hanging="1077"/>
        <w:jc w:val="both"/>
        <w:rPr>
          <w:rFonts w:ascii="Calibri" w:hAnsi="Calibri" w:cs="Calibri"/>
          <w:i/>
          <w:u w:val="single"/>
        </w:rPr>
      </w:pPr>
      <w:r>
        <w:rPr>
          <w:rFonts w:ascii="Calibri" w:hAnsi="Calibri" w:cs="Calibri"/>
          <w:i/>
          <w:u w:val="single"/>
        </w:rPr>
        <w:lastRenderedPageBreak/>
        <w:t>En cas de panne</w:t>
      </w:r>
    </w:p>
    <w:p>
      <w:pPr>
        <w:spacing w:after="120"/>
        <w:jc w:val="both"/>
        <w:rPr>
          <w:rFonts w:ascii="Calibri" w:hAnsi="Calibri" w:cs="Calibri"/>
          <w:sz w:val="20"/>
          <w:szCs w:val="20"/>
        </w:rPr>
      </w:pPr>
      <w:r>
        <w:rPr>
          <w:rFonts w:ascii="Calibri" w:hAnsi="Calibri" w:cs="Calibri"/>
          <w:sz w:val="20"/>
          <w:szCs w:val="20"/>
        </w:rPr>
        <w:t>S’il a pu être déterminé, en concertation avec l’administration, que l’appareil concerné fait l’objet d’une panne, il y a lieu de :</w:t>
      </w:r>
    </w:p>
    <w:p>
      <w:pPr>
        <w:pStyle w:val="Paragraphedeliste"/>
        <w:numPr>
          <w:ilvl w:val="0"/>
          <w:numId w:val="97"/>
        </w:numPr>
        <w:spacing w:after="120"/>
        <w:jc w:val="both"/>
        <w:rPr>
          <w:rFonts w:ascii="Calibri" w:hAnsi="Calibri" w:cs="Calibri"/>
          <w:sz w:val="20"/>
          <w:szCs w:val="20"/>
        </w:rPr>
      </w:pPr>
      <w:r>
        <w:rPr>
          <w:rFonts w:ascii="Calibri" w:hAnsi="Calibri" w:cs="Calibri"/>
          <w:bCs/>
          <w:sz w:val="20"/>
          <w:szCs w:val="20"/>
        </w:rPr>
        <w:t xml:space="preserve">contacter le fournisseur de l’équipement désigné lors du marché initial pour le passage d’un technicien </w:t>
      </w:r>
      <w:r>
        <w:rPr>
          <w:rFonts w:ascii="Calibri" w:hAnsi="Calibri" w:cs="Calibri"/>
          <w:sz w:val="20"/>
          <w:szCs w:val="20"/>
        </w:rPr>
        <w:t>afin de diagnostiquer la panne et obtenir une estimation des coûts ;</w:t>
      </w:r>
    </w:p>
    <w:p>
      <w:pPr>
        <w:pStyle w:val="Paragraphedeliste"/>
        <w:numPr>
          <w:ilvl w:val="0"/>
          <w:numId w:val="97"/>
        </w:numPr>
        <w:spacing w:after="120"/>
        <w:jc w:val="both"/>
        <w:rPr>
          <w:rFonts w:ascii="Calibri" w:hAnsi="Calibri" w:cs="Calibri"/>
          <w:sz w:val="20"/>
          <w:szCs w:val="20"/>
        </w:rPr>
      </w:pPr>
      <w:r>
        <w:rPr>
          <w:rFonts w:ascii="Calibri" w:hAnsi="Calibri" w:cs="Calibri"/>
          <w:sz w:val="20"/>
          <w:szCs w:val="20"/>
        </w:rPr>
        <w:t xml:space="preserve">une fois la nature de l’intervention établie et l’estimation de la dépense connue, </w:t>
      </w:r>
      <w:r>
        <w:rPr>
          <w:rFonts w:ascii="Calibri" w:hAnsi="Calibri" w:cs="Calibri"/>
          <w:bCs/>
          <w:sz w:val="20"/>
          <w:szCs w:val="20"/>
        </w:rPr>
        <w:t>contacter le chargé de mission CTA concerné</w:t>
      </w:r>
      <w:r>
        <w:rPr>
          <w:rFonts w:ascii="Calibri" w:hAnsi="Calibri" w:cs="Calibri"/>
          <w:sz w:val="20"/>
          <w:szCs w:val="20"/>
        </w:rPr>
        <w:t xml:space="preserve"> pour déterminer la suite des démarches en termes de marchés publics (Monopole? Quelle procédure de marché public? Réparation? Remplacement? Etc.)</w:t>
      </w:r>
    </w:p>
    <w:p>
      <w:pPr>
        <w:pStyle w:val="Paragraphedeliste"/>
        <w:numPr>
          <w:ilvl w:val="3"/>
          <w:numId w:val="56"/>
        </w:numPr>
        <w:tabs>
          <w:tab w:val="left" w:pos="1134"/>
        </w:tabs>
        <w:spacing w:before="240" w:after="240"/>
        <w:ind w:left="1134" w:hanging="1077"/>
        <w:jc w:val="both"/>
        <w:rPr>
          <w:rFonts w:ascii="Calibri" w:hAnsi="Calibri" w:cs="Calibri"/>
          <w:i/>
          <w:u w:val="single"/>
        </w:rPr>
      </w:pPr>
      <w:r>
        <w:rPr>
          <w:rFonts w:ascii="Calibri" w:hAnsi="Calibri" w:cs="Calibri"/>
          <w:i/>
          <w:u w:val="single"/>
        </w:rPr>
        <w:t>En cas de casse non couverte par l’assurance ou d’usure</w:t>
      </w:r>
    </w:p>
    <w:p>
      <w:pPr>
        <w:pStyle w:val="Paragraphedeliste"/>
        <w:spacing w:after="120"/>
        <w:ind w:left="0"/>
        <w:jc w:val="both"/>
        <w:rPr>
          <w:rFonts w:ascii="Calibri" w:hAnsi="Calibri" w:cs="Calibri"/>
          <w:sz w:val="20"/>
          <w:szCs w:val="20"/>
        </w:rPr>
      </w:pPr>
      <w:r>
        <w:rPr>
          <w:rFonts w:ascii="Calibri" w:hAnsi="Calibri" w:cs="Calibri"/>
          <w:sz w:val="20"/>
          <w:szCs w:val="20"/>
        </w:rPr>
        <w:t>S’il a pu être déterminé, en concertation avec l’administration, que l’appareil concerné est victime d’usure ou a subi une casse non couverte par l’assurance, il y a lieu de :</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déterminer la nature de la casse ou de l’usure</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déterminer le montant de la réparation ou du remplacement (pour cela, il convient d’entamer les mêmes démarches qu’en cas de panne)</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envisager la possibilité d’adapter le plan d’investissement du CTA pour prévoir le remplacement de l’appareil</w:t>
      </w:r>
    </w:p>
    <w:p>
      <w:pPr>
        <w:spacing w:after="120"/>
        <w:jc w:val="both"/>
        <w:rPr>
          <w:rFonts w:ascii="Calibri" w:hAnsi="Calibri" w:cs="Calibri"/>
          <w:sz w:val="20"/>
          <w:szCs w:val="20"/>
        </w:rPr>
      </w:pPr>
      <w:r>
        <w:rPr>
          <w:rFonts w:ascii="Calibri" w:hAnsi="Calibri" w:cs="Calibri"/>
          <w:sz w:val="20"/>
          <w:szCs w:val="20"/>
        </w:rPr>
        <w:t>Et bien sûr, il convient de vérifier si l’appareil n’est pas sous garantie ou si la réparation ne peut être apparentée à de la maintenance curative.</w:t>
      </w:r>
    </w:p>
    <w:p>
      <w:pPr>
        <w:pStyle w:val="Paragraphedeliste"/>
        <w:numPr>
          <w:ilvl w:val="3"/>
          <w:numId w:val="56"/>
        </w:numPr>
        <w:tabs>
          <w:tab w:val="left" w:pos="1134"/>
        </w:tabs>
        <w:spacing w:before="240" w:after="240"/>
        <w:ind w:left="1134" w:hanging="1077"/>
        <w:jc w:val="both"/>
        <w:rPr>
          <w:rFonts w:ascii="Calibri" w:hAnsi="Calibri" w:cs="Calibri"/>
          <w:i/>
          <w:u w:val="single"/>
        </w:rPr>
      </w:pPr>
      <w:r>
        <w:rPr>
          <w:rFonts w:ascii="Calibri" w:hAnsi="Calibri" w:cs="Calibri"/>
          <w:i/>
          <w:u w:val="single"/>
        </w:rPr>
        <w:t>En cas de sinistre – Démarches à entreprendre auprès de la Compagnie d’Assurance</w:t>
      </w:r>
    </w:p>
    <w:p>
      <w:pPr>
        <w:spacing w:after="120"/>
        <w:jc w:val="both"/>
        <w:rPr>
          <w:rFonts w:ascii="Calibri" w:hAnsi="Calibri" w:cs="Calibri"/>
          <w:sz w:val="20"/>
          <w:szCs w:val="20"/>
        </w:rPr>
      </w:pPr>
      <w:r>
        <w:rPr>
          <w:rFonts w:ascii="Calibri" w:hAnsi="Calibri" w:cs="Calibri"/>
          <w:sz w:val="20"/>
          <w:szCs w:val="20"/>
        </w:rPr>
        <w:t>Toutes les démarches à entamer auprès de l’assureur sont centralisées à l’administration. Le point de contact est Florence MARCELLI.</w:t>
      </w:r>
    </w:p>
    <w:p>
      <w:pPr>
        <w:spacing w:after="120"/>
        <w:jc w:val="both"/>
        <w:rPr>
          <w:rFonts w:ascii="Calibri" w:hAnsi="Calibri" w:cs="Calibri"/>
          <w:sz w:val="20"/>
          <w:szCs w:val="20"/>
        </w:rPr>
      </w:pPr>
      <w:r>
        <w:rPr>
          <w:rFonts w:ascii="Calibri" w:hAnsi="Calibri" w:cs="Calibri"/>
          <w:sz w:val="20"/>
          <w:szCs w:val="20"/>
        </w:rPr>
        <w:t>S’il a pu être déterminé, en concertation avec l’administration, que l’appareil concerné fait l’objet d’un sinistre, il y a lieu de déclarer ce sinistre à l’assureur.</w:t>
      </w:r>
    </w:p>
    <w:p>
      <w:pPr>
        <w:spacing w:after="120"/>
        <w:jc w:val="both"/>
        <w:rPr>
          <w:rFonts w:ascii="Calibri" w:hAnsi="Calibri" w:cs="Calibri"/>
          <w:sz w:val="20"/>
          <w:szCs w:val="20"/>
        </w:rPr>
      </w:pPr>
      <w:r>
        <w:rPr>
          <w:rFonts w:ascii="Calibri" w:hAnsi="Calibri" w:cs="Calibri"/>
          <w:sz w:val="20"/>
          <w:szCs w:val="20"/>
        </w:rPr>
        <w:t>La gestion d’un dossier de sinistre se déroule en 4 temps :</w:t>
      </w:r>
    </w:p>
    <w:p>
      <w:pPr>
        <w:pStyle w:val="Paragraphedeliste"/>
        <w:numPr>
          <w:ilvl w:val="0"/>
          <w:numId w:val="93"/>
        </w:numPr>
        <w:spacing w:after="120"/>
        <w:jc w:val="both"/>
        <w:rPr>
          <w:rFonts w:ascii="Calibri" w:hAnsi="Calibri" w:cs="Calibri"/>
          <w:b/>
          <w:sz w:val="20"/>
          <w:szCs w:val="20"/>
          <w:u w:val="single"/>
        </w:rPr>
      </w:pPr>
      <w:r>
        <w:rPr>
          <w:rFonts w:ascii="Calibri" w:hAnsi="Calibri" w:cs="Calibri"/>
          <w:b/>
          <w:sz w:val="20"/>
          <w:szCs w:val="20"/>
          <w:u w:val="single"/>
        </w:rPr>
        <w:t>La déclaration d’accident</w:t>
      </w:r>
    </w:p>
    <w:p>
      <w:pPr>
        <w:spacing w:after="120"/>
        <w:jc w:val="both"/>
        <w:rPr>
          <w:rFonts w:ascii="Calibri" w:hAnsi="Calibri" w:cs="Calibri"/>
          <w:sz w:val="20"/>
          <w:szCs w:val="20"/>
        </w:rPr>
      </w:pPr>
      <w:r>
        <w:rPr>
          <w:rFonts w:ascii="Calibri" w:hAnsi="Calibri" w:cs="Calibri"/>
          <w:sz w:val="20"/>
          <w:szCs w:val="20"/>
        </w:rPr>
        <w:t xml:space="preserve">Il convient de remplir une </w:t>
      </w:r>
      <w:r>
        <w:rPr>
          <w:rFonts w:ascii="Calibri" w:hAnsi="Calibri" w:cs="Calibri"/>
          <w:bCs/>
          <w:sz w:val="20"/>
          <w:szCs w:val="20"/>
        </w:rPr>
        <w:t xml:space="preserve">déclaration de sinistre (disponible sur le partage CTA – voir point 15 de la présente circulaire) </w:t>
      </w:r>
      <w:r>
        <w:rPr>
          <w:rFonts w:ascii="Calibri" w:hAnsi="Calibri" w:cs="Calibri"/>
          <w:sz w:val="20"/>
          <w:szCs w:val="20"/>
        </w:rPr>
        <w:t>dans les meilleurs délais après prise de connaissance des faits en étant attentif à bien renseigner les informations suivantes :</w:t>
      </w:r>
    </w:p>
    <w:p>
      <w:pPr>
        <w:pStyle w:val="Paragraphedeliste"/>
        <w:numPr>
          <w:ilvl w:val="0"/>
          <w:numId w:val="100"/>
        </w:numPr>
        <w:spacing w:after="120"/>
        <w:ind w:left="1077" w:hanging="357"/>
        <w:jc w:val="both"/>
        <w:rPr>
          <w:rFonts w:ascii="Calibri" w:hAnsi="Calibri" w:cs="Calibri"/>
          <w:sz w:val="20"/>
          <w:szCs w:val="20"/>
        </w:rPr>
      </w:pPr>
      <w:r>
        <w:rPr>
          <w:rFonts w:ascii="Calibri" w:hAnsi="Calibri" w:cs="Calibri"/>
          <w:sz w:val="20"/>
          <w:szCs w:val="20"/>
        </w:rPr>
        <w:t>Le type de matériel accidenté,</w:t>
      </w:r>
    </w:p>
    <w:p>
      <w:pPr>
        <w:pStyle w:val="Paragraphedeliste"/>
        <w:numPr>
          <w:ilvl w:val="0"/>
          <w:numId w:val="100"/>
        </w:numPr>
        <w:spacing w:after="120"/>
        <w:ind w:left="1077" w:hanging="357"/>
        <w:jc w:val="both"/>
        <w:rPr>
          <w:rFonts w:ascii="Calibri" w:hAnsi="Calibri" w:cs="Calibri"/>
          <w:sz w:val="20"/>
          <w:szCs w:val="20"/>
        </w:rPr>
      </w:pPr>
      <w:r>
        <w:rPr>
          <w:rFonts w:ascii="Calibri" w:hAnsi="Calibri" w:cs="Calibri"/>
          <w:sz w:val="20"/>
          <w:szCs w:val="20"/>
        </w:rPr>
        <w:t>sa date d’achat,</w:t>
      </w:r>
    </w:p>
    <w:p>
      <w:pPr>
        <w:pStyle w:val="Paragraphedeliste"/>
        <w:numPr>
          <w:ilvl w:val="0"/>
          <w:numId w:val="100"/>
        </w:numPr>
        <w:spacing w:after="120"/>
        <w:ind w:left="1077" w:hanging="357"/>
        <w:jc w:val="both"/>
        <w:rPr>
          <w:rFonts w:ascii="Calibri" w:hAnsi="Calibri" w:cs="Calibri"/>
          <w:sz w:val="20"/>
          <w:szCs w:val="20"/>
        </w:rPr>
      </w:pPr>
      <w:r>
        <w:rPr>
          <w:rFonts w:ascii="Calibri" w:hAnsi="Calibri" w:cs="Calibri"/>
          <w:sz w:val="20"/>
          <w:szCs w:val="20"/>
        </w:rPr>
        <w:t>sa valeur,</w:t>
      </w:r>
    </w:p>
    <w:p>
      <w:pPr>
        <w:pStyle w:val="Paragraphedeliste"/>
        <w:numPr>
          <w:ilvl w:val="0"/>
          <w:numId w:val="100"/>
        </w:numPr>
        <w:spacing w:after="120"/>
        <w:ind w:left="1077" w:hanging="357"/>
        <w:jc w:val="both"/>
        <w:rPr>
          <w:rFonts w:ascii="Calibri" w:hAnsi="Calibri" w:cs="Calibri"/>
          <w:sz w:val="20"/>
          <w:szCs w:val="20"/>
        </w:rPr>
      </w:pPr>
      <w:r>
        <w:rPr>
          <w:rFonts w:ascii="Calibri" w:hAnsi="Calibri" w:cs="Calibri"/>
          <w:sz w:val="20"/>
          <w:szCs w:val="20"/>
        </w:rPr>
        <w:t>le lieu, la date et l’heure du sinistre,</w:t>
      </w:r>
    </w:p>
    <w:p>
      <w:pPr>
        <w:pStyle w:val="Paragraphedeliste"/>
        <w:numPr>
          <w:ilvl w:val="0"/>
          <w:numId w:val="100"/>
        </w:numPr>
        <w:spacing w:after="120"/>
        <w:ind w:left="1077" w:hanging="357"/>
        <w:jc w:val="both"/>
        <w:rPr>
          <w:rFonts w:ascii="Calibri" w:hAnsi="Calibri" w:cs="Calibri"/>
          <w:sz w:val="20"/>
          <w:szCs w:val="20"/>
        </w:rPr>
      </w:pPr>
      <w:r>
        <w:rPr>
          <w:rFonts w:ascii="Calibri" w:hAnsi="Calibri" w:cs="Calibri"/>
          <w:sz w:val="20"/>
          <w:szCs w:val="20"/>
        </w:rPr>
        <w:t>les causes, la nature et les circonstances du sinistre,</w:t>
      </w:r>
    </w:p>
    <w:p>
      <w:pPr>
        <w:pStyle w:val="Paragraphedeliste"/>
        <w:numPr>
          <w:ilvl w:val="0"/>
          <w:numId w:val="100"/>
        </w:numPr>
        <w:spacing w:after="120"/>
        <w:ind w:left="1077" w:hanging="357"/>
        <w:jc w:val="both"/>
        <w:rPr>
          <w:rFonts w:ascii="Calibri" w:hAnsi="Calibri" w:cs="Calibri"/>
          <w:sz w:val="20"/>
          <w:szCs w:val="20"/>
        </w:rPr>
      </w:pPr>
      <w:r>
        <w:rPr>
          <w:rFonts w:ascii="Calibri" w:hAnsi="Calibri" w:cs="Calibri"/>
          <w:sz w:val="20"/>
          <w:szCs w:val="20"/>
        </w:rPr>
        <w:t>les noms, les prénoms et domiciles des principaux témoins.</w:t>
      </w:r>
    </w:p>
    <w:p>
      <w:pPr>
        <w:pStyle w:val="Paragraphedeliste"/>
        <w:numPr>
          <w:ilvl w:val="0"/>
          <w:numId w:val="100"/>
        </w:numPr>
        <w:spacing w:after="120"/>
        <w:ind w:left="1077" w:hanging="357"/>
        <w:jc w:val="both"/>
        <w:rPr>
          <w:rFonts w:ascii="Calibri" w:hAnsi="Calibri" w:cs="Calibri"/>
          <w:sz w:val="20"/>
          <w:szCs w:val="20"/>
        </w:rPr>
      </w:pPr>
      <w:r>
        <w:rPr>
          <w:rFonts w:ascii="Calibri" w:hAnsi="Calibri" w:cs="Calibri"/>
          <w:sz w:val="20"/>
          <w:szCs w:val="20"/>
        </w:rPr>
        <w:t>préciser la date à laquelle est faite la déclaration et signer (coordonnateur CTA)</w:t>
      </w:r>
    </w:p>
    <w:p>
      <w:pPr>
        <w:spacing w:after="120"/>
        <w:jc w:val="both"/>
        <w:rPr>
          <w:rFonts w:ascii="Calibri" w:hAnsi="Calibri" w:cs="Calibri"/>
          <w:sz w:val="20"/>
          <w:szCs w:val="20"/>
        </w:rPr>
      </w:pPr>
      <w:r>
        <w:rPr>
          <w:rFonts w:ascii="Calibri" w:hAnsi="Calibri" w:cs="Calibri"/>
          <w:sz w:val="20"/>
          <w:szCs w:val="20"/>
        </w:rPr>
        <w:t xml:space="preserve">Une fois la déclaration remplie, l’envoyer </w:t>
      </w:r>
      <w:r>
        <w:rPr>
          <w:rFonts w:ascii="Calibri" w:hAnsi="Calibri" w:cs="Calibri"/>
          <w:b/>
          <w:sz w:val="20"/>
          <w:szCs w:val="20"/>
          <w:u w:val="single"/>
        </w:rPr>
        <w:t>PAR MAIL</w:t>
      </w:r>
      <w:r>
        <w:rPr>
          <w:rFonts w:ascii="Calibri" w:hAnsi="Calibri" w:cs="Calibri"/>
          <w:sz w:val="20"/>
          <w:szCs w:val="20"/>
        </w:rPr>
        <w:t xml:space="preserve"> et </w:t>
      </w:r>
      <w:r>
        <w:rPr>
          <w:rFonts w:ascii="Calibri" w:hAnsi="Calibri" w:cs="Calibri"/>
          <w:b/>
          <w:sz w:val="20"/>
          <w:szCs w:val="20"/>
          <w:u w:val="single"/>
        </w:rPr>
        <w:t>PAR COURRIER</w:t>
      </w:r>
      <w:r>
        <w:rPr>
          <w:rFonts w:ascii="Calibri" w:hAnsi="Calibri" w:cs="Calibri"/>
          <w:sz w:val="20"/>
          <w:szCs w:val="20"/>
        </w:rPr>
        <w:t xml:space="preserve"> à l’administration à l’attention de Florence MARCELLI.</w:t>
      </w:r>
    </w:p>
    <w:p>
      <w:pPr>
        <w:rPr>
          <w:rFonts w:ascii="Calibri" w:hAnsi="Calibri" w:cs="Calibri"/>
          <w:b/>
          <w:sz w:val="20"/>
          <w:szCs w:val="20"/>
          <w:u w:val="single"/>
        </w:rPr>
      </w:pPr>
      <w:r>
        <w:rPr>
          <w:rFonts w:ascii="Calibri" w:hAnsi="Calibri" w:cs="Calibri"/>
          <w:b/>
          <w:sz w:val="20"/>
          <w:szCs w:val="20"/>
          <w:u w:val="single"/>
        </w:rPr>
        <w:br w:type="page"/>
      </w:r>
    </w:p>
    <w:p>
      <w:pPr>
        <w:pStyle w:val="Paragraphedeliste"/>
        <w:numPr>
          <w:ilvl w:val="0"/>
          <w:numId w:val="93"/>
        </w:numPr>
        <w:spacing w:after="120"/>
        <w:jc w:val="both"/>
        <w:rPr>
          <w:rFonts w:ascii="Calibri" w:hAnsi="Calibri" w:cs="Calibri"/>
          <w:b/>
          <w:sz w:val="20"/>
          <w:szCs w:val="20"/>
          <w:u w:val="single"/>
        </w:rPr>
      </w:pPr>
      <w:r>
        <w:rPr>
          <w:rFonts w:ascii="Calibri" w:hAnsi="Calibri" w:cs="Calibri"/>
          <w:b/>
          <w:sz w:val="20"/>
          <w:szCs w:val="20"/>
          <w:u w:val="single"/>
        </w:rPr>
        <w:lastRenderedPageBreak/>
        <w:t>L’analyse du dossier</w:t>
      </w:r>
    </w:p>
    <w:p>
      <w:pPr>
        <w:spacing w:after="120"/>
        <w:jc w:val="both"/>
        <w:rPr>
          <w:rFonts w:ascii="Calibri" w:hAnsi="Calibri" w:cs="Calibri"/>
          <w:sz w:val="20"/>
          <w:szCs w:val="20"/>
        </w:rPr>
      </w:pPr>
      <w:r>
        <w:rPr>
          <w:rFonts w:ascii="Calibri" w:hAnsi="Calibri" w:cs="Calibri"/>
          <w:sz w:val="20"/>
          <w:szCs w:val="20"/>
        </w:rPr>
        <w:t>Sur base de la déclaration envoyée, l’assureur procède alors à l’analyse du dossier. Cette instruction est une phase de collecte d’informations. Il est dès lors probable que celui-ci demande une série d’informations complémentaires telles que des photos de l’équipement endommagé, les factures d’achat, le passage d’un expert, un devis de réparation, etc.</w:t>
      </w:r>
    </w:p>
    <w:p>
      <w:pPr>
        <w:spacing w:after="120"/>
        <w:jc w:val="both"/>
        <w:rPr>
          <w:rFonts w:ascii="Calibri" w:hAnsi="Calibri" w:cs="Calibri"/>
          <w:sz w:val="20"/>
          <w:szCs w:val="20"/>
        </w:rPr>
      </w:pPr>
      <w:r>
        <w:rPr>
          <w:rFonts w:ascii="Calibri" w:hAnsi="Calibri" w:cs="Calibri"/>
          <w:sz w:val="20"/>
          <w:szCs w:val="20"/>
        </w:rPr>
        <w:t>Si tel est le cas, il convient alors d’envoyer toutes les informations demandées à l’administration, qui fera le relais auprès de l’assureur.</w:t>
      </w:r>
    </w:p>
    <w:p>
      <w:pPr>
        <w:spacing w:after="120"/>
        <w:jc w:val="both"/>
        <w:rPr>
          <w:rFonts w:ascii="Calibri" w:hAnsi="Calibri" w:cs="Calibri"/>
          <w:sz w:val="20"/>
          <w:szCs w:val="20"/>
        </w:rPr>
      </w:pPr>
      <w:r>
        <w:rPr>
          <w:rFonts w:ascii="Calibri" w:hAnsi="Calibri" w:cs="Calibri"/>
          <w:sz w:val="20"/>
          <w:szCs w:val="20"/>
        </w:rPr>
        <w:t>Néanmoins, si le passage d’un expert est demandé par l’assureur, le coordonnateur prendra alors directement rendez-vous avec l’expert désigné.</w:t>
      </w:r>
    </w:p>
    <w:p>
      <w:pPr>
        <w:pStyle w:val="Paragraphedeliste"/>
        <w:numPr>
          <w:ilvl w:val="0"/>
          <w:numId w:val="93"/>
        </w:numPr>
        <w:spacing w:after="120"/>
        <w:jc w:val="both"/>
        <w:rPr>
          <w:rFonts w:ascii="Calibri" w:hAnsi="Calibri" w:cs="Calibri"/>
          <w:b/>
          <w:sz w:val="20"/>
          <w:szCs w:val="20"/>
          <w:u w:val="single"/>
        </w:rPr>
      </w:pPr>
      <w:r>
        <w:rPr>
          <w:rFonts w:ascii="Calibri" w:hAnsi="Calibri" w:cs="Calibri"/>
          <w:b/>
          <w:sz w:val="20"/>
          <w:szCs w:val="20"/>
          <w:u w:val="single"/>
        </w:rPr>
        <w:t>L’indemnisation</w:t>
      </w:r>
    </w:p>
    <w:p>
      <w:pPr>
        <w:spacing w:after="120"/>
        <w:jc w:val="both"/>
        <w:rPr>
          <w:rFonts w:ascii="Calibri" w:hAnsi="Calibri" w:cs="Calibri"/>
          <w:sz w:val="20"/>
          <w:szCs w:val="20"/>
        </w:rPr>
      </w:pPr>
      <w:r>
        <w:rPr>
          <w:rFonts w:ascii="Calibri" w:hAnsi="Calibri" w:cs="Calibri"/>
          <w:sz w:val="20"/>
          <w:szCs w:val="20"/>
        </w:rPr>
        <w:t>Une fois le dossier analysé, l’assureur procèdera à l’indemnisation calculée sur base des informations collectées et/ou du rapport de l’expert.</w:t>
      </w:r>
    </w:p>
    <w:p>
      <w:pPr>
        <w:spacing w:after="120"/>
        <w:jc w:val="both"/>
        <w:rPr>
          <w:rFonts w:ascii="Calibri" w:hAnsi="Calibri" w:cs="Calibri"/>
          <w:bCs/>
          <w:sz w:val="20"/>
          <w:szCs w:val="20"/>
        </w:rPr>
      </w:pPr>
      <w:r>
        <w:rPr>
          <w:rFonts w:ascii="Calibri" w:hAnsi="Calibri" w:cs="Calibri"/>
          <w:bCs/>
          <w:sz w:val="20"/>
          <w:szCs w:val="20"/>
          <w:u w:val="single"/>
        </w:rPr>
        <w:t>Il est à noter que si l’assureur statue pour un remplacement de l’équipement sinistré, le calcul de l’indemnité doit se faire</w:t>
      </w:r>
      <w:r>
        <w:rPr>
          <w:rFonts w:ascii="Calibri" w:hAnsi="Calibri" w:cs="Calibri"/>
          <w:b/>
          <w:bCs/>
          <w:sz w:val="20"/>
          <w:szCs w:val="20"/>
          <w:u w:val="single"/>
        </w:rPr>
        <w:t xml:space="preserve"> en remplacement en valeur à neuf sans déduction de la vétusté</w:t>
      </w:r>
      <w:r>
        <w:rPr>
          <w:rFonts w:ascii="Calibri" w:hAnsi="Calibri" w:cs="Calibri"/>
          <w:bCs/>
          <w:sz w:val="20"/>
          <w:szCs w:val="20"/>
        </w:rPr>
        <w:t>, c’est-à-dire au prix d’achat.</w:t>
      </w:r>
    </w:p>
    <w:p>
      <w:pPr>
        <w:spacing w:after="120"/>
        <w:jc w:val="both"/>
        <w:rPr>
          <w:rFonts w:ascii="Calibri" w:hAnsi="Calibri" w:cs="Calibri"/>
          <w:bCs/>
          <w:sz w:val="20"/>
          <w:szCs w:val="20"/>
          <w:u w:val="single"/>
        </w:rPr>
      </w:pPr>
      <w:r>
        <w:rPr>
          <w:rFonts w:ascii="Calibri" w:hAnsi="Calibri" w:cs="Calibri"/>
          <w:bCs/>
          <w:sz w:val="20"/>
          <w:szCs w:val="20"/>
        </w:rPr>
        <w:t xml:space="preserve">Afin de clore le dossier, l’assureur adresse soit une </w:t>
      </w:r>
      <w:r>
        <w:rPr>
          <w:rFonts w:ascii="Calibri" w:hAnsi="Calibri" w:cs="Calibri"/>
          <w:b/>
          <w:bCs/>
          <w:sz w:val="20"/>
          <w:szCs w:val="20"/>
        </w:rPr>
        <w:t>« Quittance d’indemnités »</w:t>
      </w:r>
      <w:r>
        <w:rPr>
          <w:rFonts w:ascii="Calibri" w:hAnsi="Calibri" w:cs="Calibri"/>
          <w:bCs/>
          <w:sz w:val="20"/>
          <w:szCs w:val="20"/>
        </w:rPr>
        <w:t xml:space="preserve"> soit le</w:t>
      </w:r>
      <w:r>
        <w:rPr>
          <w:rFonts w:ascii="Calibri" w:hAnsi="Calibri" w:cs="Calibri"/>
          <w:b/>
          <w:sz w:val="20"/>
          <w:szCs w:val="20"/>
        </w:rPr>
        <w:t xml:space="preserve"> </w:t>
      </w:r>
      <w:r>
        <w:rPr>
          <w:rFonts w:ascii="Calibri" w:hAnsi="Calibri" w:cs="Calibri"/>
          <w:b/>
          <w:bCs/>
          <w:sz w:val="20"/>
          <w:szCs w:val="20"/>
        </w:rPr>
        <w:t>« procès-verbal d’estimation amiable de l’expert »</w:t>
      </w:r>
      <w:r>
        <w:rPr>
          <w:rFonts w:ascii="Calibri" w:hAnsi="Calibri" w:cs="Calibri"/>
          <w:bCs/>
          <w:sz w:val="20"/>
          <w:szCs w:val="20"/>
        </w:rPr>
        <w:t xml:space="preserve">. Dans les deux cas, ces documents doivent être contresignés </w:t>
      </w:r>
      <w:r>
        <w:rPr>
          <w:rFonts w:ascii="Calibri" w:hAnsi="Calibri" w:cs="Calibri"/>
          <w:bCs/>
          <w:sz w:val="20"/>
          <w:szCs w:val="20"/>
          <w:u w:val="single"/>
        </w:rPr>
        <w:t>par le preneur d’assurance, soit la personne ayant attribuée le marché public et  habilitée à engager la Fédération Wallonie-Bruxelles (Secrétaire général ou Ministre compétent).</w:t>
      </w:r>
    </w:p>
    <w:p>
      <w:pPr>
        <w:spacing w:after="120"/>
        <w:jc w:val="both"/>
        <w:rPr>
          <w:rFonts w:ascii="Calibri" w:hAnsi="Calibri" w:cs="Calibri"/>
          <w:sz w:val="20"/>
          <w:szCs w:val="20"/>
        </w:rPr>
      </w:pPr>
      <w:r>
        <w:rPr>
          <w:rFonts w:ascii="Calibri" w:hAnsi="Calibri" w:cs="Calibri"/>
          <w:sz w:val="20"/>
          <w:szCs w:val="20"/>
        </w:rPr>
        <w:t>Dans certains cas, l’assureur précise dans son courrier de clôture que la TVA sera récupérée sur base des factures de réparation. Il conviendra alors de transmettre ces documents à l’administration afin qu’elle fasse le relai auprès de l’assureur.</w:t>
      </w:r>
    </w:p>
    <w:p>
      <w:pPr>
        <w:pStyle w:val="Paragraphedeliste"/>
        <w:numPr>
          <w:ilvl w:val="0"/>
          <w:numId w:val="93"/>
        </w:numPr>
        <w:spacing w:after="120"/>
        <w:jc w:val="both"/>
        <w:rPr>
          <w:rFonts w:ascii="Calibri" w:hAnsi="Calibri" w:cs="Calibri"/>
          <w:b/>
          <w:sz w:val="20"/>
          <w:szCs w:val="20"/>
          <w:u w:val="single"/>
        </w:rPr>
      </w:pPr>
      <w:r>
        <w:rPr>
          <w:rFonts w:ascii="Calibri" w:hAnsi="Calibri" w:cs="Calibri"/>
          <w:b/>
          <w:sz w:val="20"/>
          <w:szCs w:val="20"/>
          <w:u w:val="single"/>
        </w:rPr>
        <w:t>La prise en charge de la franchise</w:t>
      </w:r>
    </w:p>
    <w:p>
      <w:pPr>
        <w:spacing w:after="120"/>
        <w:jc w:val="both"/>
        <w:rPr>
          <w:rFonts w:ascii="Calibri" w:hAnsi="Calibri" w:cs="Calibri"/>
          <w:sz w:val="20"/>
          <w:szCs w:val="20"/>
        </w:rPr>
      </w:pPr>
      <w:r>
        <w:rPr>
          <w:rFonts w:ascii="Calibri" w:hAnsi="Calibri" w:cs="Calibri"/>
          <w:sz w:val="20"/>
          <w:szCs w:val="20"/>
        </w:rPr>
        <w:t>La franchise peut être prise en charge par la Fédération Wallonie-Bruxelles sur présentation des documents suivants :</w:t>
      </w:r>
    </w:p>
    <w:p>
      <w:pPr>
        <w:pStyle w:val="Paragraphedeliste"/>
        <w:numPr>
          <w:ilvl w:val="0"/>
          <w:numId w:val="101"/>
        </w:numPr>
        <w:spacing w:after="120"/>
        <w:ind w:left="1134" w:hanging="357"/>
        <w:jc w:val="both"/>
        <w:rPr>
          <w:rFonts w:ascii="Calibri" w:hAnsi="Calibri" w:cs="Calibri"/>
          <w:sz w:val="20"/>
          <w:szCs w:val="20"/>
        </w:rPr>
      </w:pPr>
      <w:r>
        <w:rPr>
          <w:rFonts w:ascii="Calibri" w:hAnsi="Calibri" w:cs="Calibri"/>
          <w:sz w:val="20"/>
          <w:szCs w:val="20"/>
        </w:rPr>
        <w:t>Factures de réparation ou d’achat</w:t>
      </w:r>
    </w:p>
    <w:p>
      <w:pPr>
        <w:pStyle w:val="Paragraphedeliste"/>
        <w:numPr>
          <w:ilvl w:val="0"/>
          <w:numId w:val="101"/>
        </w:numPr>
        <w:spacing w:after="120"/>
        <w:ind w:left="1134" w:hanging="357"/>
        <w:jc w:val="both"/>
        <w:rPr>
          <w:rFonts w:ascii="Calibri" w:hAnsi="Calibri" w:cs="Calibri"/>
          <w:sz w:val="20"/>
          <w:szCs w:val="20"/>
        </w:rPr>
      </w:pPr>
      <w:r>
        <w:rPr>
          <w:rFonts w:ascii="Calibri" w:hAnsi="Calibri" w:cs="Calibri"/>
          <w:sz w:val="20"/>
          <w:szCs w:val="20"/>
        </w:rPr>
        <w:t>Preuves de paiement (extrait de compte)</w:t>
      </w:r>
    </w:p>
    <w:p>
      <w:pPr>
        <w:pStyle w:val="Paragraphedeliste"/>
        <w:numPr>
          <w:ilvl w:val="0"/>
          <w:numId w:val="101"/>
        </w:numPr>
        <w:spacing w:after="120"/>
        <w:ind w:left="1134" w:hanging="357"/>
        <w:jc w:val="both"/>
        <w:rPr>
          <w:rFonts w:ascii="Calibri" w:hAnsi="Calibri" w:cs="Calibri"/>
          <w:sz w:val="20"/>
          <w:szCs w:val="20"/>
        </w:rPr>
      </w:pPr>
      <w:r>
        <w:rPr>
          <w:rFonts w:ascii="Calibri" w:hAnsi="Calibri" w:cs="Calibri"/>
          <w:sz w:val="20"/>
          <w:szCs w:val="20"/>
        </w:rPr>
        <w:t>Déclaration de créance complétée et signée par le chef d’établissement (modèle disponible sur le partage CTA – voir point 15)</w:t>
      </w:r>
    </w:p>
    <w:p>
      <w:pPr>
        <w:pStyle w:val="Paragraphedeliste"/>
        <w:numPr>
          <w:ilvl w:val="3"/>
          <w:numId w:val="56"/>
        </w:numPr>
        <w:tabs>
          <w:tab w:val="left" w:pos="1134"/>
        </w:tabs>
        <w:spacing w:before="240" w:after="240"/>
        <w:ind w:left="1134" w:hanging="1077"/>
        <w:jc w:val="both"/>
        <w:rPr>
          <w:rFonts w:ascii="Calibri" w:hAnsi="Calibri" w:cs="Calibri"/>
          <w:i/>
          <w:u w:val="single"/>
        </w:rPr>
      </w:pPr>
      <w:r>
        <w:rPr>
          <w:rFonts w:ascii="Calibri" w:hAnsi="Calibri" w:cs="Calibri"/>
          <w:i/>
          <w:u w:val="single"/>
        </w:rPr>
        <w:t>En cas de vol ou de disparition</w:t>
      </w:r>
    </w:p>
    <w:p>
      <w:pPr>
        <w:spacing w:after="120"/>
        <w:jc w:val="both"/>
        <w:rPr>
          <w:rFonts w:ascii="Calibri" w:hAnsi="Calibri" w:cs="Calibri"/>
          <w:sz w:val="20"/>
          <w:szCs w:val="20"/>
        </w:rPr>
      </w:pPr>
      <w:r>
        <w:rPr>
          <w:rFonts w:ascii="Calibri" w:hAnsi="Calibri" w:cs="Calibri"/>
          <w:sz w:val="20"/>
          <w:szCs w:val="20"/>
        </w:rPr>
        <w:t>En cas de vol, il convient de déposer une plainte auprès des autorités de police compétentes endéans les 24h qui suivent le vol. Pour la suite de la procédure, il suffit de se reporter aux démarches à suivre auprès de l’assureur.</w:t>
      </w:r>
    </w:p>
    <w:p>
      <w:pPr>
        <w:spacing w:after="120"/>
        <w:jc w:val="both"/>
        <w:rPr>
          <w:rFonts w:ascii="Calibri" w:hAnsi="Calibri" w:cs="Calibri"/>
          <w:sz w:val="20"/>
          <w:szCs w:val="20"/>
        </w:rPr>
      </w:pPr>
      <w:r>
        <w:rPr>
          <w:rFonts w:ascii="Calibri" w:hAnsi="Calibri" w:cs="Calibri"/>
          <w:sz w:val="20"/>
          <w:szCs w:val="20"/>
        </w:rPr>
        <w:t>Ne pas oublier de joindre le PV de vol à la déclaration d’accident.</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Que faire si un équipement arrive en fin de vie ?</w:t>
      </w:r>
    </w:p>
    <w:p>
      <w:pPr>
        <w:spacing w:after="120"/>
        <w:jc w:val="both"/>
        <w:rPr>
          <w:rFonts w:ascii="Calibri" w:hAnsi="Calibri" w:cs="Calibri"/>
          <w:sz w:val="20"/>
          <w:szCs w:val="20"/>
        </w:rPr>
      </w:pPr>
      <w:r>
        <w:rPr>
          <w:rFonts w:ascii="Calibri" w:hAnsi="Calibri" w:cs="Calibri"/>
          <w:sz w:val="20"/>
          <w:szCs w:val="20"/>
        </w:rPr>
        <w:t>En premier lieu, il convient de contacter l’administration afin d’établir si l’équipement doit être remplacé.</w:t>
      </w:r>
    </w:p>
    <w:p>
      <w:pPr>
        <w:spacing w:after="120"/>
        <w:jc w:val="both"/>
        <w:rPr>
          <w:rFonts w:ascii="Calibri" w:hAnsi="Calibri" w:cs="Calibri"/>
          <w:sz w:val="20"/>
          <w:szCs w:val="20"/>
        </w:rPr>
      </w:pPr>
      <w:r>
        <w:rPr>
          <w:rFonts w:ascii="Calibri" w:hAnsi="Calibri" w:cs="Calibri"/>
          <w:sz w:val="20"/>
          <w:szCs w:val="20"/>
        </w:rPr>
        <w:t>S’il s’avère que l’appareil ne peut pas être réparé, il faudra alors procéder au déclassement de l’appareil défectueux (voir point 10.7).</w:t>
      </w:r>
    </w:p>
    <w:p>
      <w:pPr>
        <w:spacing w:after="120"/>
        <w:jc w:val="both"/>
        <w:rPr>
          <w:rFonts w:ascii="Calibri" w:hAnsi="Calibri" w:cs="Calibri"/>
          <w:sz w:val="20"/>
          <w:szCs w:val="20"/>
        </w:rPr>
      </w:pPr>
      <w:r>
        <w:rPr>
          <w:rFonts w:ascii="Calibri" w:hAnsi="Calibri" w:cs="Calibri"/>
          <w:sz w:val="20"/>
          <w:szCs w:val="20"/>
        </w:rPr>
        <w:t xml:space="preserve">Pour son remplacement, il conviendra de vérifier si celui-ci ne peut être inclus dans le plan d’investissement du CTA. </w:t>
      </w:r>
    </w:p>
    <w:p>
      <w:pPr>
        <w:rPr>
          <w:rFonts w:ascii="Calibri" w:hAnsi="Calibri" w:cs="Calibri"/>
          <w:b/>
          <w:sz w:val="28"/>
          <w:szCs w:val="28"/>
        </w:rPr>
      </w:pPr>
      <w:r>
        <w:rPr>
          <w:rFonts w:ascii="Calibri" w:hAnsi="Calibri" w:cs="Calibri"/>
          <w:b/>
          <w:sz w:val="28"/>
          <w:szCs w:val="28"/>
        </w:rPr>
        <w:br w:type="page"/>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lastRenderedPageBreak/>
        <w:t>Remplacement ou réparation d’une pièce ou d’un équipement</w:t>
      </w:r>
    </w:p>
    <w:p>
      <w:pPr>
        <w:spacing w:after="120"/>
        <w:jc w:val="both"/>
        <w:rPr>
          <w:rFonts w:ascii="Calibri" w:hAnsi="Calibri" w:cs="Calibri"/>
          <w:sz w:val="20"/>
          <w:szCs w:val="20"/>
        </w:rPr>
      </w:pPr>
      <w:r>
        <w:rPr>
          <w:rFonts w:ascii="Calibri" w:hAnsi="Calibri" w:cs="Calibri"/>
          <w:bCs/>
          <w:sz w:val="20"/>
          <w:szCs w:val="20"/>
        </w:rPr>
        <w:t>Qu’il s’agisse d’une réparation ou d’un remplacement, DANS TOUS LES CAS</w:t>
      </w:r>
      <w:r>
        <w:rPr>
          <w:rFonts w:ascii="Calibri" w:hAnsi="Calibri" w:cs="Calibri"/>
          <w:sz w:val="20"/>
          <w:szCs w:val="20"/>
        </w:rPr>
        <w:t xml:space="preserve">, un </w:t>
      </w:r>
      <w:r>
        <w:rPr>
          <w:rFonts w:ascii="Calibri" w:hAnsi="Calibri" w:cs="Calibri"/>
          <w:bCs/>
          <w:sz w:val="20"/>
          <w:szCs w:val="20"/>
          <w:u w:val="single"/>
        </w:rPr>
        <w:t>marché public</w:t>
      </w:r>
      <w:r>
        <w:rPr>
          <w:rFonts w:ascii="Calibri" w:hAnsi="Calibri" w:cs="Calibri"/>
          <w:sz w:val="20"/>
          <w:szCs w:val="20"/>
        </w:rPr>
        <w:t xml:space="preserve"> doit être lancé.</w:t>
      </w:r>
    </w:p>
    <w:p>
      <w:pPr>
        <w:spacing w:after="120"/>
        <w:jc w:val="both"/>
        <w:rPr>
          <w:rFonts w:ascii="Calibri" w:hAnsi="Calibri" w:cs="Calibri"/>
          <w:sz w:val="20"/>
          <w:szCs w:val="20"/>
        </w:rPr>
      </w:pPr>
      <w:r>
        <w:rPr>
          <w:rFonts w:ascii="Calibri" w:hAnsi="Calibri" w:cs="Calibri"/>
          <w:sz w:val="20"/>
          <w:szCs w:val="20"/>
        </w:rPr>
        <w:t xml:space="preserve">Toutefois, il y a lieu d’estimer s’il est possible de recourir à </w:t>
      </w:r>
      <w:r>
        <w:rPr>
          <w:rFonts w:ascii="Calibri" w:hAnsi="Calibri" w:cs="Calibri"/>
          <w:bCs/>
          <w:sz w:val="20"/>
          <w:szCs w:val="20"/>
          <w:u w:val="single"/>
        </w:rPr>
        <w:t>l’exception du monopole</w:t>
      </w:r>
      <w:r>
        <w:rPr>
          <w:rFonts w:ascii="Calibri" w:hAnsi="Calibri" w:cs="Calibri"/>
          <w:sz w:val="20"/>
          <w:szCs w:val="20"/>
        </w:rPr>
        <w:t xml:space="preserve"> pour des raisons techniques. Ce point est </w:t>
      </w:r>
      <w:r>
        <w:rPr>
          <w:rFonts w:ascii="Calibri" w:hAnsi="Calibri" w:cs="Calibri"/>
          <w:bCs/>
          <w:sz w:val="20"/>
          <w:szCs w:val="20"/>
          <w:u w:val="single"/>
        </w:rPr>
        <w:t>à déterminer en collaboration avec le chargé de mission concerné.</w:t>
      </w:r>
    </w:p>
    <w:p>
      <w:pPr>
        <w:spacing w:after="120"/>
        <w:jc w:val="both"/>
        <w:rPr>
          <w:rFonts w:ascii="Calibri" w:hAnsi="Calibri" w:cs="Calibri"/>
          <w:sz w:val="20"/>
          <w:szCs w:val="20"/>
        </w:rPr>
      </w:pPr>
      <w:r>
        <w:rPr>
          <w:rFonts w:ascii="Calibri" w:hAnsi="Calibri" w:cs="Calibri"/>
          <w:sz w:val="20"/>
          <w:szCs w:val="20"/>
        </w:rPr>
        <w:t>Dans ce cas, il est alors possible de ne s’adresser qu’au fournisseur ayant fourni l’équipement « global » lors de l’appel d’offre initial. Mais il y a lieu de se demander si le fournisseur est le seul à pouvoir intervenir afin de maintenir la garantie sur le reste de l’installation ou parce que le reste de l’installation ne peut fonctionner qu’avec le modèle du fournisseur. Dans TOUS les autres cas, il faudra conduire un marché public.</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Types de prises en charge financières</w:t>
      </w:r>
    </w:p>
    <w:p>
      <w:pPr>
        <w:spacing w:after="120"/>
        <w:jc w:val="both"/>
        <w:rPr>
          <w:rFonts w:ascii="Calibri" w:hAnsi="Calibri" w:cs="Calibri"/>
          <w:sz w:val="20"/>
          <w:szCs w:val="20"/>
        </w:rPr>
      </w:pPr>
      <w:r>
        <w:rPr>
          <w:rFonts w:ascii="Calibri" w:hAnsi="Calibri" w:cs="Calibri"/>
          <w:sz w:val="20"/>
          <w:szCs w:val="20"/>
        </w:rPr>
        <w:t>Les indemnisations possibles dans le cas d’un dommage survenu à un équipement sont :</w:t>
      </w:r>
    </w:p>
    <w:p>
      <w:pPr>
        <w:pStyle w:val="Paragraphedeliste"/>
        <w:numPr>
          <w:ilvl w:val="0"/>
          <w:numId w:val="135"/>
        </w:numPr>
        <w:spacing w:after="120"/>
        <w:jc w:val="both"/>
        <w:rPr>
          <w:rFonts w:ascii="Calibri" w:hAnsi="Calibri" w:cs="Calibri"/>
          <w:sz w:val="20"/>
          <w:szCs w:val="20"/>
        </w:rPr>
      </w:pPr>
      <w:r>
        <w:rPr>
          <w:rFonts w:ascii="Calibri" w:hAnsi="Calibri" w:cs="Calibri"/>
          <w:sz w:val="20"/>
          <w:szCs w:val="20"/>
        </w:rPr>
        <w:t>Indemnisation sinistre via la compagnie d’assurance</w:t>
      </w:r>
    </w:p>
    <w:p>
      <w:pPr>
        <w:pStyle w:val="Paragraphedeliste"/>
        <w:numPr>
          <w:ilvl w:val="0"/>
          <w:numId w:val="135"/>
        </w:numPr>
        <w:spacing w:after="120"/>
        <w:jc w:val="both"/>
        <w:rPr>
          <w:rFonts w:ascii="Calibri" w:hAnsi="Calibri" w:cs="Calibri"/>
          <w:sz w:val="20"/>
          <w:szCs w:val="20"/>
        </w:rPr>
      </w:pPr>
      <w:r>
        <w:rPr>
          <w:rFonts w:ascii="Calibri" w:hAnsi="Calibri" w:cs="Calibri"/>
          <w:sz w:val="20"/>
          <w:szCs w:val="20"/>
        </w:rPr>
        <w:t>Prise en charge de la franchise par la Fédération Wallonie-Bruxelles</w:t>
      </w:r>
    </w:p>
    <w:p>
      <w:pPr>
        <w:pStyle w:val="Paragraphedeliste"/>
        <w:numPr>
          <w:ilvl w:val="0"/>
          <w:numId w:val="135"/>
        </w:numPr>
        <w:spacing w:after="120"/>
        <w:jc w:val="both"/>
        <w:rPr>
          <w:rFonts w:ascii="Calibri" w:hAnsi="Calibri" w:cs="Calibri"/>
          <w:sz w:val="20"/>
          <w:szCs w:val="20"/>
        </w:rPr>
      </w:pPr>
      <w:r>
        <w:rPr>
          <w:rFonts w:ascii="Calibri" w:hAnsi="Calibri" w:cs="Calibri"/>
          <w:sz w:val="20"/>
          <w:szCs w:val="20"/>
        </w:rPr>
        <w:t>Prise en charge des frais liés à la maintenance des équipements</w:t>
      </w:r>
    </w:p>
    <w:p>
      <w:pPr>
        <w:spacing w:after="120"/>
        <w:jc w:val="both"/>
        <w:rPr>
          <w:rFonts w:ascii="Calibri" w:hAnsi="Calibri" w:cs="Calibri"/>
          <w:sz w:val="20"/>
          <w:szCs w:val="20"/>
        </w:rPr>
      </w:pPr>
      <w:r>
        <w:rPr>
          <w:rFonts w:ascii="Calibri" w:hAnsi="Calibri" w:cs="Calibri"/>
          <w:sz w:val="20"/>
          <w:szCs w:val="20"/>
        </w:rPr>
        <w:t>Elles sont cependant subordonnées à la condition du respect de la réglementation en vigueur sur les marchés publics.</w:t>
      </w:r>
    </w:p>
    <w:p>
      <w:pPr>
        <w:numPr>
          <w:ilvl w:val="1"/>
          <w:numId w:val="56"/>
        </w:numPr>
        <w:spacing w:before="240" w:after="240"/>
        <w:ind w:left="851" w:hanging="851"/>
        <w:jc w:val="both"/>
        <w:rPr>
          <w:rFonts w:ascii="Calibri" w:hAnsi="Calibri" w:cs="Calibri"/>
          <w:b/>
          <w:smallCaps/>
          <w:sz w:val="32"/>
          <w:szCs w:val="32"/>
        </w:rPr>
      </w:pPr>
      <w:r>
        <w:rPr>
          <w:rFonts w:ascii="Calibri" w:hAnsi="Calibri" w:cs="Calibri"/>
          <w:b/>
          <w:smallCaps/>
          <w:sz w:val="32"/>
          <w:szCs w:val="32"/>
        </w:rPr>
        <w:t>Assurance des équipements acquis par la Fédération Wallonie-Bruxelles</w:t>
      </w:r>
    </w:p>
    <w:p>
      <w:pPr>
        <w:spacing w:after="120"/>
        <w:jc w:val="both"/>
        <w:rPr>
          <w:rFonts w:ascii="Calibri" w:hAnsi="Calibri" w:cs="Calibri"/>
          <w:sz w:val="20"/>
          <w:szCs w:val="20"/>
        </w:rPr>
      </w:pPr>
      <w:r>
        <w:rPr>
          <w:rFonts w:ascii="Calibri" w:hAnsi="Calibri" w:cs="Calibri"/>
          <w:sz w:val="20"/>
          <w:szCs w:val="20"/>
        </w:rPr>
        <w:t>Tous les équipements acquis en vue d’être mis à disposition des CTA par la Fédération Wallonie-Bruxelles sont assurés par ses soins. Les informations reprises ci-dessous ne constituent qu’une partie des conditions détaillées dans les polices d’assurance contractées pour chaque CTA.</w:t>
      </w:r>
    </w:p>
    <w:p>
      <w:pPr>
        <w:spacing w:after="120"/>
        <w:jc w:val="both"/>
        <w:rPr>
          <w:rFonts w:ascii="Calibri" w:hAnsi="Calibri" w:cs="Calibri"/>
          <w:sz w:val="20"/>
          <w:szCs w:val="20"/>
        </w:rPr>
      </w:pPr>
      <w:r>
        <w:rPr>
          <w:rFonts w:ascii="Calibri" w:hAnsi="Calibri" w:cs="Calibri"/>
          <w:sz w:val="20"/>
          <w:szCs w:val="20"/>
        </w:rPr>
        <w:t>Les gestionnaires des centres sont vivement encouragés à prendre connaissance de l’intégralité des conditions générales et spéciales reprises dans leur police et qui est disponible sur le partage sécurisé mis à disposition des centres.</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Conditions d’assurance</w:t>
      </w:r>
    </w:p>
    <w:p>
      <w:pPr>
        <w:numPr>
          <w:ilvl w:val="3"/>
          <w:numId w:val="56"/>
        </w:numPr>
        <w:spacing w:before="240" w:after="240"/>
        <w:ind w:left="1134" w:hanging="1134"/>
        <w:jc w:val="both"/>
        <w:rPr>
          <w:rFonts w:ascii="Calibri" w:hAnsi="Calibri" w:cs="Calibri"/>
          <w:i/>
          <w:u w:val="single"/>
        </w:rPr>
      </w:pPr>
      <w:r>
        <w:rPr>
          <w:rFonts w:asciiTheme="minorHAnsi" w:hAnsiTheme="minorHAnsi" w:cstheme="minorHAnsi"/>
          <w:bCs/>
          <w:i/>
          <w:u w:val="single"/>
        </w:rPr>
        <w:t>Généralités</w:t>
      </w:r>
    </w:p>
    <w:p>
      <w:pPr>
        <w:spacing w:after="120"/>
        <w:jc w:val="both"/>
        <w:rPr>
          <w:rFonts w:asciiTheme="minorHAnsi" w:hAnsiTheme="minorHAnsi" w:cstheme="minorHAnsi"/>
          <w:sz w:val="20"/>
          <w:szCs w:val="20"/>
        </w:rPr>
      </w:pPr>
      <w:r>
        <w:rPr>
          <w:rFonts w:asciiTheme="minorHAnsi" w:hAnsiTheme="minorHAnsi" w:cstheme="minorHAnsi"/>
          <w:sz w:val="20"/>
          <w:szCs w:val="20"/>
        </w:rPr>
        <w:t xml:space="preserve">Les équipements pédagogiques des 30 Centres de Technologies Avancées sont assurés en </w:t>
      </w:r>
      <w:r>
        <w:rPr>
          <w:rFonts w:asciiTheme="minorHAnsi" w:hAnsiTheme="minorHAnsi" w:cstheme="minorHAnsi"/>
          <w:b/>
          <w:sz w:val="20"/>
          <w:szCs w:val="20"/>
        </w:rPr>
        <w:t>Dégâts matériels</w:t>
      </w:r>
      <w:r>
        <w:rPr>
          <w:rFonts w:asciiTheme="minorHAnsi" w:hAnsiTheme="minorHAnsi" w:cstheme="minorHAnsi"/>
          <w:sz w:val="20"/>
          <w:szCs w:val="20"/>
        </w:rPr>
        <w:t xml:space="preserve">. Les véhicules automoteurs sont assurés en </w:t>
      </w:r>
      <w:r>
        <w:rPr>
          <w:rFonts w:asciiTheme="minorHAnsi" w:hAnsiTheme="minorHAnsi" w:cstheme="minorHAnsi"/>
          <w:b/>
          <w:sz w:val="20"/>
          <w:szCs w:val="20"/>
        </w:rPr>
        <w:t xml:space="preserve">« Omnium dégâts matériels » </w:t>
      </w:r>
      <w:r>
        <w:rPr>
          <w:rFonts w:asciiTheme="minorHAnsi" w:hAnsiTheme="minorHAnsi" w:cstheme="minorHAnsi"/>
          <w:sz w:val="20"/>
          <w:szCs w:val="20"/>
        </w:rPr>
        <w:t xml:space="preserve">et en </w:t>
      </w:r>
      <w:r>
        <w:rPr>
          <w:rFonts w:asciiTheme="minorHAnsi" w:hAnsiTheme="minorHAnsi" w:cstheme="minorHAnsi"/>
          <w:b/>
          <w:sz w:val="20"/>
          <w:szCs w:val="20"/>
        </w:rPr>
        <w:t>Responsabilité civile</w:t>
      </w:r>
      <w:r>
        <w:rPr>
          <w:rFonts w:asciiTheme="minorHAnsi" w:hAnsiTheme="minorHAnsi" w:cstheme="minorHAnsi"/>
          <w:sz w:val="20"/>
          <w:szCs w:val="20"/>
        </w:rPr>
        <w:t> ; sont également couverts les accidents survenant sur des terrains privés. Attention, les véhicules étant par essence didactiques, ils ne sont pas amenés à emprunter la voie publique et ne sont donc pas couverts pour la protection juridique. Le cas échéant, c’est à l’établissement scolaire de prendre cette assurance à sa charge.</w:t>
      </w:r>
    </w:p>
    <w:p>
      <w:pPr>
        <w:spacing w:after="120"/>
        <w:jc w:val="both"/>
        <w:rPr>
          <w:rFonts w:asciiTheme="minorHAnsi" w:hAnsiTheme="minorHAnsi" w:cstheme="minorHAnsi"/>
          <w:sz w:val="20"/>
          <w:szCs w:val="20"/>
        </w:rPr>
      </w:pPr>
      <w:r>
        <w:rPr>
          <w:rFonts w:asciiTheme="minorHAnsi" w:hAnsiTheme="minorHAnsi" w:cstheme="minorHAnsi"/>
          <w:sz w:val="20"/>
          <w:szCs w:val="20"/>
        </w:rPr>
        <w:t>L’assureur couvre les pertes ou dommages causés aux équipements achetés à destination des CTA et les assure en cas de destruction totale ou partielle, vol ou tentative de vol, vandalisme, malveillance ou toute circonstance accidentelle occasionnant un dommage (incendie, explosion, foudre, inondation, débordement de rivières, heurt de tout ou partie d’appareils de navigation aérienne ou d’engins spatiaux, etc.)</w:t>
      </w:r>
    </w:p>
    <w:p>
      <w:pPr>
        <w:spacing w:after="120"/>
        <w:jc w:val="both"/>
        <w:outlineLvl w:val="1"/>
        <w:rPr>
          <w:rFonts w:asciiTheme="minorHAnsi" w:hAnsiTheme="minorHAnsi" w:cstheme="minorHAnsi"/>
          <w:sz w:val="20"/>
          <w:szCs w:val="20"/>
        </w:rPr>
      </w:pPr>
      <w:r>
        <w:rPr>
          <w:rFonts w:asciiTheme="minorHAnsi" w:hAnsiTheme="minorHAnsi" w:cstheme="minorHAnsi"/>
          <w:sz w:val="20"/>
          <w:szCs w:val="20"/>
        </w:rPr>
        <w:t>Une clause d’abandon de recours est prévue dans le contrat de sorte à ce que l’assureur ne puisse se retourner contre la famille d’un apprenant qui aurait occasionné des dommages à un équipement manipulé dans le cadre de son apprentissage.</w:t>
      </w:r>
    </w:p>
    <w:p>
      <w:pPr>
        <w:tabs>
          <w:tab w:val="left" w:pos="426"/>
        </w:tabs>
        <w:spacing w:after="120"/>
        <w:jc w:val="both"/>
        <w:rPr>
          <w:rFonts w:asciiTheme="minorHAnsi" w:hAnsiTheme="minorHAnsi" w:cstheme="minorHAnsi"/>
          <w:sz w:val="20"/>
          <w:szCs w:val="20"/>
        </w:rPr>
      </w:pPr>
      <w:r>
        <w:rPr>
          <w:rFonts w:asciiTheme="minorHAnsi" w:hAnsiTheme="minorHAnsi" w:cstheme="minorHAnsi"/>
          <w:sz w:val="20"/>
          <w:szCs w:val="20"/>
        </w:rPr>
        <w:t>Tous les documents, plans, modèles, bandes magnétiques et autres supports d'information seront assurés en valeur de reconstitution matérielle.</w:t>
      </w:r>
    </w:p>
    <w:p>
      <w:pPr>
        <w:spacing w:after="120"/>
        <w:jc w:val="both"/>
        <w:rPr>
          <w:rFonts w:asciiTheme="minorHAnsi" w:hAnsiTheme="minorHAnsi" w:cstheme="minorHAnsi"/>
          <w:sz w:val="20"/>
          <w:szCs w:val="20"/>
        </w:rPr>
      </w:pPr>
      <w:r>
        <w:rPr>
          <w:rFonts w:asciiTheme="minorHAnsi" w:hAnsiTheme="minorHAnsi" w:cstheme="minorHAnsi"/>
          <w:sz w:val="20"/>
          <w:szCs w:val="20"/>
        </w:rPr>
        <w:t xml:space="preserve">Chaque CTA fait l’objet d’une police d’assurance </w:t>
      </w:r>
      <w:r>
        <w:rPr>
          <w:rFonts w:asciiTheme="minorHAnsi" w:hAnsiTheme="minorHAnsi" w:cstheme="minorHAnsi"/>
          <w:bCs/>
          <w:sz w:val="20"/>
          <w:szCs w:val="20"/>
          <w:u w:val="single"/>
        </w:rPr>
        <w:t>distincte</w:t>
      </w:r>
      <w:r>
        <w:rPr>
          <w:rFonts w:asciiTheme="minorHAnsi" w:hAnsiTheme="minorHAnsi" w:cstheme="minorHAnsi"/>
          <w:sz w:val="20"/>
          <w:szCs w:val="20"/>
        </w:rPr>
        <w:t>.</w:t>
      </w:r>
      <w:r>
        <w:rPr>
          <w:rFonts w:asciiTheme="minorHAnsi" w:hAnsiTheme="minorHAnsi" w:cstheme="minorHAnsi"/>
          <w:sz w:val="20"/>
          <w:szCs w:val="20"/>
        </w:rPr>
        <w:br w:type="page"/>
      </w:r>
    </w:p>
    <w:p>
      <w:pPr>
        <w:spacing w:after="120"/>
        <w:jc w:val="both"/>
        <w:rPr>
          <w:rFonts w:asciiTheme="minorHAnsi" w:hAnsiTheme="minorHAnsi" w:cstheme="minorHAnsi"/>
          <w:sz w:val="20"/>
          <w:szCs w:val="20"/>
        </w:rPr>
      </w:pPr>
      <w:r>
        <w:rPr>
          <w:rFonts w:asciiTheme="minorHAnsi" w:hAnsiTheme="minorHAnsi" w:cstheme="minorHAnsi"/>
          <w:sz w:val="20"/>
          <w:szCs w:val="20"/>
        </w:rPr>
        <w:lastRenderedPageBreak/>
        <w:t>À la conclusion du contrat, le preneur d’assurance doit communiquer à l’assureur tout renseignement qu’il considère comme constituant des éléments d’appréciation du risque (ex : autres assurances ayant le même objet). Il doit aussi signaler à l’assureur toute modification ou nouvelle circonstance de nature à entraîner une aggravation sensible et durable du risque (les omissions ou inexactitudes intentionnelles peuvent entrainer la nullité du contrat).</w:t>
      </w:r>
    </w:p>
    <w:p>
      <w:pPr>
        <w:spacing w:after="120"/>
        <w:jc w:val="both"/>
        <w:rPr>
          <w:rFonts w:asciiTheme="minorHAnsi" w:hAnsiTheme="minorHAnsi" w:cstheme="minorHAnsi"/>
          <w:sz w:val="20"/>
          <w:szCs w:val="20"/>
        </w:rPr>
      </w:pPr>
      <w:r>
        <w:rPr>
          <w:rFonts w:asciiTheme="minorHAnsi" w:hAnsiTheme="minorHAnsi" w:cstheme="minorHAnsi"/>
          <w:sz w:val="20"/>
          <w:szCs w:val="20"/>
        </w:rPr>
        <w:t xml:space="preserve">Pour pouvoir bénéficier de la couverture, les biens assurés doivent impérativement avoir un </w:t>
      </w:r>
      <w:r>
        <w:rPr>
          <w:rFonts w:asciiTheme="minorHAnsi" w:hAnsiTheme="minorHAnsi" w:cstheme="minorHAnsi"/>
          <w:bCs/>
          <w:sz w:val="20"/>
          <w:szCs w:val="20"/>
        </w:rPr>
        <w:t>caractère didactique</w:t>
      </w:r>
      <w:r>
        <w:rPr>
          <w:rFonts w:asciiTheme="minorHAnsi" w:hAnsiTheme="minorHAnsi" w:cstheme="minorHAnsi"/>
          <w:sz w:val="20"/>
          <w:szCs w:val="20"/>
        </w:rPr>
        <w:t>, à savoir qu’ils doivent être soumis à un régime de démonstration dans le cadre d’un programme d’enseignement.</w:t>
      </w:r>
    </w:p>
    <w:p>
      <w:pPr>
        <w:spacing w:after="120"/>
        <w:jc w:val="both"/>
        <w:rPr>
          <w:rFonts w:asciiTheme="minorHAnsi" w:hAnsiTheme="minorHAnsi" w:cstheme="minorHAnsi"/>
          <w:sz w:val="20"/>
          <w:szCs w:val="20"/>
        </w:rPr>
      </w:pPr>
      <w:r>
        <w:rPr>
          <w:rFonts w:asciiTheme="minorHAnsi" w:hAnsiTheme="minorHAnsi" w:cstheme="minorHAnsi"/>
          <w:sz w:val="20"/>
          <w:szCs w:val="20"/>
        </w:rPr>
        <w:t xml:space="preserve">En cas d’indemnisation, celle-ci se fait en valeur de </w:t>
      </w:r>
      <w:r>
        <w:rPr>
          <w:rFonts w:asciiTheme="minorHAnsi" w:hAnsiTheme="minorHAnsi" w:cstheme="minorHAnsi"/>
          <w:bCs/>
          <w:sz w:val="20"/>
          <w:szCs w:val="20"/>
        </w:rPr>
        <w:t>remplacement à neuf sans déduction de vétusté (à savoir le prix d’achat d’un nouvel objet similaire + frais de transport et de montage + frais et taxes éventuels)</w:t>
      </w:r>
      <w:r>
        <w:rPr>
          <w:rFonts w:asciiTheme="minorHAnsi" w:hAnsiTheme="minorHAnsi" w:cstheme="minorHAnsi"/>
          <w:sz w:val="20"/>
          <w:szCs w:val="20"/>
        </w:rPr>
        <w:t>.</w:t>
      </w:r>
    </w:p>
    <w:p>
      <w:pPr>
        <w:spacing w:after="120"/>
        <w:jc w:val="both"/>
        <w:rPr>
          <w:rFonts w:asciiTheme="minorHAnsi" w:hAnsiTheme="minorHAnsi" w:cstheme="minorHAnsi"/>
          <w:sz w:val="20"/>
          <w:szCs w:val="20"/>
        </w:rPr>
      </w:pPr>
      <w:r>
        <w:rPr>
          <w:rFonts w:asciiTheme="minorHAnsi" w:hAnsiTheme="minorHAnsi" w:cstheme="minorHAnsi"/>
          <w:sz w:val="20"/>
          <w:szCs w:val="20"/>
        </w:rPr>
        <w:t>Les objets assurés sont couverts pendant les périodes de réparation en dehors des lieux ‘spécifiés’, transport compris (le contrat est supplétif au contrat souscrit par le transporteur ou réparateur.). Le matériel analogue loué ou utilisé dans l’attente de la réparation est également couvert.</w:t>
      </w:r>
    </w:p>
    <w:p>
      <w:pPr>
        <w:spacing w:after="120"/>
        <w:jc w:val="both"/>
        <w:rPr>
          <w:rFonts w:asciiTheme="minorHAnsi" w:hAnsiTheme="minorHAnsi" w:cstheme="minorHAnsi"/>
          <w:sz w:val="20"/>
          <w:szCs w:val="20"/>
        </w:rPr>
      </w:pPr>
      <w:r>
        <w:rPr>
          <w:rFonts w:asciiTheme="minorHAnsi" w:hAnsiTheme="minorHAnsi" w:cstheme="minorHAnsi"/>
          <w:sz w:val="20"/>
          <w:szCs w:val="20"/>
        </w:rPr>
        <w:t xml:space="preserve">Pour le matériel informatique, </w:t>
      </w:r>
      <w:r>
        <w:rPr>
          <w:rFonts w:asciiTheme="minorHAnsi" w:hAnsiTheme="minorHAnsi" w:cstheme="minorHAnsi"/>
          <w:bCs/>
          <w:sz w:val="20"/>
          <w:szCs w:val="20"/>
        </w:rPr>
        <w:t>les logiciels installés à l’achat sont également couverts</w:t>
      </w:r>
      <w:r>
        <w:rPr>
          <w:rFonts w:asciiTheme="minorHAnsi" w:hAnsiTheme="minorHAnsi" w:cstheme="minorHAnsi"/>
          <w:sz w:val="20"/>
          <w:szCs w:val="20"/>
        </w:rPr>
        <w:t>, pour autant que leur prix soit comptabilisé dans la valeur des objets assurés.</w:t>
      </w:r>
    </w:p>
    <w:p>
      <w:pPr>
        <w:spacing w:after="120"/>
        <w:jc w:val="both"/>
        <w:rPr>
          <w:rFonts w:asciiTheme="minorHAnsi" w:hAnsiTheme="minorHAnsi" w:cstheme="minorHAnsi"/>
          <w:sz w:val="20"/>
          <w:szCs w:val="20"/>
        </w:rPr>
      </w:pPr>
      <w:r>
        <w:rPr>
          <w:rFonts w:asciiTheme="minorHAnsi" w:hAnsiTheme="minorHAnsi" w:cstheme="minorHAnsi"/>
          <w:sz w:val="20"/>
          <w:szCs w:val="20"/>
        </w:rPr>
        <w:t>Les plans, modèles, bandes magnétiques et autres supports d’information sont couverts à concurrence de 750€ maximum par sinistre.</w:t>
      </w:r>
    </w:p>
    <w:p>
      <w:pPr>
        <w:spacing w:after="120"/>
        <w:jc w:val="both"/>
        <w:rPr>
          <w:rFonts w:asciiTheme="minorHAnsi" w:hAnsiTheme="minorHAnsi" w:cstheme="minorHAnsi"/>
          <w:sz w:val="20"/>
          <w:szCs w:val="20"/>
        </w:rPr>
      </w:pPr>
      <w:r>
        <w:rPr>
          <w:rFonts w:asciiTheme="minorHAnsi" w:hAnsiTheme="minorHAnsi" w:cstheme="minorHAnsi"/>
          <w:sz w:val="20"/>
          <w:szCs w:val="20"/>
        </w:rPr>
        <w:t xml:space="preserve">Au cours de l’année d’assurance, </w:t>
      </w:r>
      <w:r>
        <w:rPr>
          <w:rFonts w:asciiTheme="minorHAnsi" w:hAnsiTheme="minorHAnsi" w:cstheme="minorHAnsi"/>
          <w:bCs/>
          <w:sz w:val="20"/>
          <w:szCs w:val="20"/>
        </w:rPr>
        <w:t>tout nouvel ajout d’objet à assurer dans les lieux spécifiés est garanti automatiquement</w:t>
      </w:r>
      <w:r>
        <w:rPr>
          <w:rFonts w:asciiTheme="minorHAnsi" w:hAnsiTheme="minorHAnsi" w:cstheme="minorHAnsi"/>
          <w:sz w:val="20"/>
          <w:szCs w:val="20"/>
        </w:rPr>
        <w:t>, pour autant qu’il corresponde au genre des objets déjà assurés.</w:t>
      </w:r>
    </w:p>
    <w:p>
      <w:pPr>
        <w:numPr>
          <w:ilvl w:val="3"/>
          <w:numId w:val="56"/>
        </w:numPr>
        <w:spacing w:before="240" w:after="240"/>
        <w:ind w:left="1134" w:hanging="1134"/>
        <w:jc w:val="both"/>
        <w:rPr>
          <w:rFonts w:asciiTheme="minorHAnsi" w:hAnsiTheme="minorHAnsi" w:cstheme="minorHAnsi"/>
          <w:bCs/>
          <w:i/>
          <w:u w:val="single"/>
        </w:rPr>
      </w:pPr>
      <w:r>
        <w:rPr>
          <w:rFonts w:asciiTheme="minorHAnsi" w:hAnsiTheme="minorHAnsi" w:cstheme="minorHAnsi"/>
          <w:bCs/>
          <w:i/>
          <w:u w:val="single"/>
        </w:rPr>
        <w:t>Exclusions</w:t>
      </w:r>
    </w:p>
    <w:p>
      <w:pPr>
        <w:spacing w:after="120"/>
        <w:jc w:val="both"/>
        <w:rPr>
          <w:rFonts w:asciiTheme="minorHAnsi" w:hAnsiTheme="minorHAnsi" w:cstheme="minorHAnsi"/>
          <w:sz w:val="20"/>
          <w:szCs w:val="20"/>
        </w:rPr>
      </w:pPr>
      <w:r>
        <w:rPr>
          <w:rFonts w:asciiTheme="minorHAnsi" w:hAnsiTheme="minorHAnsi" w:cstheme="minorHAnsi"/>
          <w:sz w:val="20"/>
          <w:szCs w:val="20"/>
        </w:rPr>
        <w:t>N’est pas couvert par l’assurance :</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Toute perte ou disparition des objets assurés ;</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Tous dommages d’ordre esthétique qui n’affectent pas le bon fonctionnement des objets ;</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Toute perte de donnée liée à un cyberrisk ;</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Les consommables ;</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L’action des champignons, parasites, vermines ;</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L’usure normale, le dérèglement progressif des appareils de mesure (étalonnage) ou l’action d’agents destructeurs de nature chimique, thermique, atmosphérique ou mécanique (sauf dommage dû à un événement accidentel) ;</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Les dommages aux éléments qui par leur nature sont soumis à une usure accélérée (joints, courroies, câbles, chaînes, pneumatiques, lampes, etc.) ;</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Tout dommage ou perte résultant du maintien ou de la remise en service d’un objet endommagé avant sa réparation définitive ou avant que son fonctionnement régulier soit rétabli ;</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Tout vol d’objets abandonnés dans un véhicule sans surveillance (sauf s’ils sont dans le coffre à bagages du véhicule, que celui-ci est fermé à clef et si l’effraction est dûment constatée).</w:t>
      </w:r>
    </w:p>
    <w:p>
      <w:pPr>
        <w:numPr>
          <w:ilvl w:val="3"/>
          <w:numId w:val="56"/>
        </w:numPr>
        <w:spacing w:before="240" w:after="240"/>
        <w:ind w:left="1134" w:hanging="1134"/>
        <w:jc w:val="both"/>
        <w:rPr>
          <w:rFonts w:asciiTheme="minorHAnsi" w:hAnsiTheme="minorHAnsi" w:cstheme="minorHAnsi"/>
          <w:bCs/>
          <w:i/>
          <w:u w:val="single"/>
        </w:rPr>
      </w:pPr>
      <w:r>
        <w:rPr>
          <w:rFonts w:asciiTheme="minorHAnsi" w:hAnsiTheme="minorHAnsi" w:cstheme="minorHAnsi"/>
          <w:bCs/>
          <w:i/>
          <w:u w:val="single"/>
        </w:rPr>
        <w:t>Obligations de l’assuré</w:t>
      </w:r>
    </w:p>
    <w:p>
      <w:pPr>
        <w:spacing w:after="120"/>
        <w:jc w:val="both"/>
        <w:rPr>
          <w:rFonts w:asciiTheme="minorHAnsi" w:hAnsiTheme="minorHAnsi" w:cstheme="minorHAnsi"/>
          <w:sz w:val="20"/>
          <w:szCs w:val="20"/>
        </w:rPr>
      </w:pPr>
      <w:r>
        <w:rPr>
          <w:rFonts w:asciiTheme="minorHAnsi" w:hAnsiTheme="minorHAnsi" w:cstheme="minorHAnsi"/>
          <w:sz w:val="20"/>
          <w:szCs w:val="20"/>
        </w:rPr>
        <w:t>L’assuré doit permettre à tout moment aux mandataires de l’assureur d’examiner les objets assurés sans que ceci implique une quelconque responsabilité dans le chef de l’assureur.</w:t>
      </w:r>
    </w:p>
    <w:p>
      <w:pPr>
        <w:spacing w:after="120"/>
        <w:jc w:val="both"/>
        <w:rPr>
          <w:rFonts w:asciiTheme="minorHAnsi" w:hAnsiTheme="minorHAnsi" w:cstheme="minorHAnsi"/>
          <w:sz w:val="20"/>
          <w:szCs w:val="20"/>
        </w:rPr>
      </w:pPr>
      <w:r>
        <w:rPr>
          <w:rFonts w:asciiTheme="minorHAnsi" w:hAnsiTheme="minorHAnsi" w:cstheme="minorHAnsi"/>
          <w:sz w:val="20"/>
          <w:szCs w:val="20"/>
        </w:rPr>
        <w:t>L’assuré doit prendre toutes les précautions nécessaires pour maintenir les objets assurés en bon état d’entretien et de fonctionnement prévues par le constructeur.</w:t>
      </w:r>
    </w:p>
    <w:p>
      <w:pPr>
        <w:spacing w:after="120"/>
        <w:jc w:val="both"/>
        <w:rPr>
          <w:rFonts w:asciiTheme="minorHAnsi" w:hAnsiTheme="minorHAnsi" w:cstheme="minorHAnsi"/>
          <w:sz w:val="20"/>
          <w:szCs w:val="20"/>
        </w:rPr>
      </w:pPr>
      <w:r>
        <w:rPr>
          <w:rFonts w:asciiTheme="minorHAnsi" w:hAnsiTheme="minorHAnsi" w:cstheme="minorHAnsi"/>
          <w:sz w:val="20"/>
          <w:szCs w:val="20"/>
        </w:rPr>
        <w:t>L’assuré doit utiliser les objets assurés uniquement dans les limites techniques d’application et de fonctionnement prévues par le constructeur.</w:t>
      </w:r>
    </w:p>
    <w:p>
      <w:pPr>
        <w:rPr>
          <w:rFonts w:ascii="Calibri" w:hAnsi="Calibri" w:cs="Calibri"/>
          <w:b/>
          <w:sz w:val="20"/>
          <w:szCs w:val="20"/>
          <w:u w:val="single"/>
        </w:rPr>
      </w:pPr>
      <w:r>
        <w:rPr>
          <w:rFonts w:ascii="Calibri" w:hAnsi="Calibri" w:cs="Calibri"/>
          <w:b/>
          <w:sz w:val="20"/>
          <w:szCs w:val="20"/>
          <w:u w:val="single"/>
        </w:rPr>
        <w:br w:type="page"/>
      </w:r>
    </w:p>
    <w:p>
      <w:pPr>
        <w:pStyle w:val="Paragraphedeliste"/>
        <w:numPr>
          <w:ilvl w:val="0"/>
          <w:numId w:val="93"/>
        </w:numPr>
        <w:spacing w:after="120"/>
        <w:jc w:val="both"/>
        <w:rPr>
          <w:rFonts w:ascii="Calibri" w:hAnsi="Calibri" w:cs="Calibri"/>
          <w:b/>
          <w:sz w:val="20"/>
          <w:szCs w:val="20"/>
          <w:u w:val="single"/>
        </w:rPr>
      </w:pPr>
      <w:r>
        <w:rPr>
          <w:rFonts w:ascii="Calibri" w:hAnsi="Calibri" w:cs="Calibri"/>
          <w:b/>
          <w:sz w:val="20"/>
          <w:szCs w:val="20"/>
          <w:u w:val="single"/>
        </w:rPr>
        <w:lastRenderedPageBreak/>
        <w:t>Pour les appareils fixes :</w:t>
      </w:r>
    </w:p>
    <w:p>
      <w:pPr>
        <w:pStyle w:val="Paragraphedeliste"/>
        <w:numPr>
          <w:ilvl w:val="0"/>
          <w:numId w:val="102"/>
        </w:numPr>
        <w:spacing w:after="120"/>
        <w:ind w:left="1134" w:hanging="357"/>
        <w:jc w:val="both"/>
        <w:rPr>
          <w:rFonts w:ascii="Calibri" w:hAnsi="Calibri" w:cs="Calibri"/>
          <w:sz w:val="20"/>
          <w:szCs w:val="20"/>
        </w:rPr>
      </w:pPr>
      <w:r>
        <w:rPr>
          <w:rFonts w:ascii="Calibri" w:hAnsi="Calibri" w:cs="Calibri"/>
          <w:sz w:val="20"/>
          <w:szCs w:val="20"/>
        </w:rPr>
        <w:t>L’assureur garantit ces objets pendant leur séjour dans le bâtiment spécifié lors de la conclusion du contrat ou à l’inventaire. Le risque de transport d’un bâtiment à un autre n’est pas couvert à moins d’avoir introduit préalablement une demande auprès de l’assureur et moyennant un supplément de prime.</w:t>
      </w:r>
    </w:p>
    <w:p>
      <w:pPr>
        <w:pStyle w:val="Paragraphedeliste"/>
        <w:numPr>
          <w:ilvl w:val="0"/>
          <w:numId w:val="102"/>
        </w:numPr>
        <w:spacing w:after="120"/>
        <w:ind w:left="1134" w:hanging="357"/>
        <w:jc w:val="both"/>
        <w:rPr>
          <w:rFonts w:ascii="Calibri" w:hAnsi="Calibri" w:cs="Calibri"/>
          <w:sz w:val="20"/>
          <w:szCs w:val="20"/>
        </w:rPr>
      </w:pPr>
      <w:r>
        <w:rPr>
          <w:rFonts w:ascii="Calibri" w:hAnsi="Calibri" w:cs="Calibri"/>
          <w:sz w:val="20"/>
          <w:szCs w:val="20"/>
        </w:rPr>
        <w:t>L’assuré doit veiller à bien fermer à clef les locaux dans lesquels se trouvent les biens assurés.</w:t>
      </w:r>
    </w:p>
    <w:p>
      <w:pPr>
        <w:pStyle w:val="Paragraphedeliste"/>
        <w:numPr>
          <w:ilvl w:val="0"/>
          <w:numId w:val="102"/>
        </w:numPr>
        <w:spacing w:after="120"/>
        <w:ind w:left="1134" w:hanging="357"/>
        <w:jc w:val="both"/>
        <w:rPr>
          <w:rFonts w:ascii="Calibri" w:hAnsi="Calibri" w:cs="Calibri"/>
          <w:sz w:val="20"/>
          <w:szCs w:val="20"/>
        </w:rPr>
      </w:pPr>
      <w:r>
        <w:rPr>
          <w:rFonts w:ascii="Calibri" w:hAnsi="Calibri" w:cs="Calibri"/>
          <w:sz w:val="20"/>
          <w:szCs w:val="20"/>
        </w:rPr>
        <w:t>Les locaux dans lesquels se situent les biens assurés doivent être équipés d’une installation électronique de détection incendie et d’alarme à l’intrusion. Ces installations doivent être maintenues en bon état de fonctionnement. Il convient d’avertir l’assurance de toute installation défectueuse et transmettre ensuite un certificat de remise en état signé par la firme ayant procédé aux réparations.</w:t>
      </w:r>
    </w:p>
    <w:p>
      <w:pPr>
        <w:pStyle w:val="Paragraphedeliste"/>
        <w:numPr>
          <w:ilvl w:val="0"/>
          <w:numId w:val="93"/>
        </w:numPr>
        <w:spacing w:after="120"/>
        <w:jc w:val="both"/>
        <w:rPr>
          <w:rFonts w:ascii="Calibri" w:hAnsi="Calibri" w:cs="Calibri"/>
          <w:b/>
          <w:sz w:val="20"/>
          <w:szCs w:val="20"/>
          <w:u w:val="single"/>
        </w:rPr>
      </w:pPr>
      <w:r>
        <w:rPr>
          <w:rFonts w:ascii="Calibri" w:hAnsi="Calibri" w:cs="Calibri"/>
          <w:b/>
          <w:sz w:val="20"/>
          <w:szCs w:val="20"/>
          <w:u w:val="single"/>
        </w:rPr>
        <w:t>Pour les appareils mobiles :</w:t>
      </w:r>
    </w:p>
    <w:p>
      <w:pPr>
        <w:pStyle w:val="Paragraphedeliste"/>
        <w:numPr>
          <w:ilvl w:val="0"/>
          <w:numId w:val="102"/>
        </w:numPr>
        <w:spacing w:after="120"/>
        <w:ind w:left="1134" w:hanging="357"/>
        <w:jc w:val="both"/>
        <w:rPr>
          <w:rFonts w:ascii="Calibri" w:hAnsi="Calibri" w:cs="Calibri"/>
          <w:sz w:val="20"/>
          <w:szCs w:val="20"/>
        </w:rPr>
      </w:pPr>
      <w:r>
        <w:rPr>
          <w:rFonts w:ascii="Calibri" w:hAnsi="Calibri" w:cs="Calibri"/>
          <w:sz w:val="20"/>
          <w:szCs w:val="20"/>
        </w:rPr>
        <w:t>Pour le matériel roulant, le territoire couvert par l’assurance est la Belgique.</w:t>
      </w:r>
    </w:p>
    <w:p>
      <w:pPr>
        <w:pStyle w:val="Paragraphedeliste"/>
        <w:numPr>
          <w:ilvl w:val="0"/>
          <w:numId w:val="102"/>
        </w:numPr>
        <w:spacing w:after="120"/>
        <w:ind w:left="1134" w:hanging="357"/>
        <w:jc w:val="both"/>
        <w:rPr>
          <w:rFonts w:ascii="Calibri" w:hAnsi="Calibri" w:cs="Calibri"/>
          <w:sz w:val="20"/>
          <w:szCs w:val="20"/>
        </w:rPr>
      </w:pPr>
      <w:r>
        <w:rPr>
          <w:rFonts w:ascii="Calibri" w:hAnsi="Calibri" w:cs="Calibri"/>
          <w:sz w:val="20"/>
          <w:szCs w:val="20"/>
        </w:rPr>
        <w:t>Pour le matériel roulant, la responsabilité civile est couverte pour le preneur d’assurance, le propriétaire du véhicule, le détenteur, le conducteur et toute personne que ce véhicule transporte ainsi que l’employeur des personnes précitées.</w:t>
      </w:r>
    </w:p>
    <w:p>
      <w:pPr>
        <w:pStyle w:val="Paragraphedeliste"/>
        <w:numPr>
          <w:ilvl w:val="0"/>
          <w:numId w:val="102"/>
        </w:numPr>
        <w:spacing w:after="120"/>
        <w:ind w:left="1134" w:hanging="357"/>
        <w:jc w:val="both"/>
        <w:rPr>
          <w:rFonts w:ascii="Calibri" w:hAnsi="Calibri" w:cs="Calibri"/>
          <w:sz w:val="20"/>
          <w:szCs w:val="20"/>
        </w:rPr>
      </w:pPr>
      <w:r>
        <w:rPr>
          <w:rFonts w:ascii="Calibri" w:hAnsi="Calibri" w:cs="Calibri"/>
          <w:sz w:val="20"/>
          <w:szCs w:val="20"/>
        </w:rPr>
        <w:t>La garantie du contrat s’étend à tout véhicule de remplacement temporaire, pendant une période de 30 jours consécutifs maximum.</w:t>
      </w:r>
    </w:p>
    <w:p>
      <w:pPr>
        <w:pStyle w:val="Paragraphedeliste"/>
        <w:numPr>
          <w:ilvl w:val="0"/>
          <w:numId w:val="102"/>
        </w:numPr>
        <w:spacing w:after="120"/>
        <w:ind w:left="1134" w:hanging="357"/>
        <w:jc w:val="both"/>
        <w:rPr>
          <w:rFonts w:ascii="Calibri" w:hAnsi="Calibri" w:cs="Calibri"/>
          <w:sz w:val="20"/>
          <w:szCs w:val="20"/>
        </w:rPr>
      </w:pPr>
      <w:r>
        <w:rPr>
          <w:rFonts w:ascii="Calibri" w:hAnsi="Calibri" w:cs="Calibri"/>
          <w:sz w:val="20"/>
          <w:szCs w:val="20"/>
        </w:rPr>
        <w:t>Sont exclus du contrat d’assurance, les dommages au véhicule assuré, les dommages aux biens transportés par le véhicule assuré, les dommages causés en cas de participation des courses de vitesse ou d’adresse, les dommages causés par l’énergie nucléaire.</w:t>
      </w:r>
    </w:p>
    <w:p>
      <w:pPr>
        <w:pStyle w:val="Paragraphedeliste"/>
        <w:numPr>
          <w:ilvl w:val="0"/>
          <w:numId w:val="102"/>
        </w:numPr>
        <w:spacing w:after="120"/>
        <w:ind w:left="1134" w:hanging="357"/>
        <w:jc w:val="both"/>
        <w:rPr>
          <w:rFonts w:ascii="Calibri" w:hAnsi="Calibri" w:cs="Calibri"/>
          <w:sz w:val="20"/>
          <w:szCs w:val="20"/>
        </w:rPr>
      </w:pPr>
      <w:r>
        <w:rPr>
          <w:rFonts w:ascii="Calibri" w:hAnsi="Calibri" w:cs="Calibri"/>
          <w:sz w:val="20"/>
          <w:szCs w:val="20"/>
        </w:rPr>
        <w:t>Pour le matériel roulant, les portes de l’engin doivent être fermées à clef à chaque fin de journée, pendant les week-ends et congés et être remisé sur le site du CTA si possible (si la taille de l’engin et les infrastructures du CTA le permettent). Les clefs doivent être entreposées dans un local fermé distinct.</w:t>
      </w:r>
    </w:p>
    <w:p>
      <w:pPr>
        <w:pStyle w:val="Paragraphedeliste"/>
        <w:numPr>
          <w:ilvl w:val="0"/>
          <w:numId w:val="102"/>
        </w:numPr>
        <w:spacing w:after="120"/>
        <w:ind w:left="1134" w:hanging="357"/>
        <w:jc w:val="both"/>
        <w:rPr>
          <w:rFonts w:ascii="Calibri" w:hAnsi="Calibri" w:cs="Calibri"/>
          <w:sz w:val="20"/>
          <w:szCs w:val="20"/>
        </w:rPr>
      </w:pPr>
      <w:r>
        <w:rPr>
          <w:rFonts w:ascii="Calibri" w:hAnsi="Calibri" w:cs="Calibri"/>
          <w:sz w:val="20"/>
          <w:szCs w:val="20"/>
        </w:rPr>
        <w:t>Pour les appareils mobiles type ordinateurs portables appareils photos, caméras, etc., la couverture est étendue aux risques de transport, mais les appareils doivent être sous surveillance constante ou entreposés dans un local ou un véhicule fermé à clef.</w:t>
      </w:r>
    </w:p>
    <w:p>
      <w:pPr>
        <w:pStyle w:val="Paragraphedeliste"/>
        <w:numPr>
          <w:ilvl w:val="0"/>
          <w:numId w:val="102"/>
        </w:numPr>
        <w:spacing w:after="120"/>
        <w:ind w:left="1134" w:hanging="357"/>
        <w:jc w:val="both"/>
        <w:rPr>
          <w:rFonts w:ascii="Calibri" w:hAnsi="Calibri" w:cs="Calibri"/>
          <w:sz w:val="20"/>
          <w:szCs w:val="20"/>
        </w:rPr>
      </w:pPr>
      <w:r>
        <w:rPr>
          <w:rFonts w:ascii="Calibri" w:hAnsi="Calibri" w:cs="Calibri"/>
          <w:sz w:val="20"/>
          <w:szCs w:val="20"/>
        </w:rPr>
        <w:t>Tiers payant : l’assureur peut, après remise en état du véhicule accidenté, payer directement la facture au réparateur à la demande de l’assuré.</w:t>
      </w:r>
    </w:p>
    <w:p>
      <w:pPr>
        <w:pStyle w:val="Paragraphedeliste"/>
        <w:numPr>
          <w:ilvl w:val="0"/>
          <w:numId w:val="102"/>
        </w:numPr>
        <w:spacing w:after="120"/>
        <w:ind w:left="1134" w:hanging="357"/>
        <w:jc w:val="both"/>
        <w:rPr>
          <w:rFonts w:ascii="Calibri" w:hAnsi="Calibri" w:cs="Calibri"/>
          <w:sz w:val="20"/>
          <w:szCs w:val="20"/>
        </w:rPr>
      </w:pPr>
      <w:r>
        <w:rPr>
          <w:rFonts w:ascii="Calibri" w:hAnsi="Calibri" w:cs="Calibri"/>
          <w:sz w:val="20"/>
          <w:szCs w:val="20"/>
        </w:rPr>
        <w:t>Tous les dommages résultant de lésions corporelles ou du décès causés à toute victime d’un accident de la circulation sont indemnisés par l’assureur (y compris les dégâts aux vêtements mais à l’exception des dégâts matériels).</w:t>
      </w:r>
    </w:p>
    <w:p>
      <w:pPr>
        <w:numPr>
          <w:ilvl w:val="3"/>
          <w:numId w:val="56"/>
        </w:numPr>
        <w:spacing w:before="240" w:after="240"/>
        <w:ind w:left="1134" w:hanging="1134"/>
        <w:jc w:val="both"/>
        <w:rPr>
          <w:rFonts w:asciiTheme="minorHAnsi" w:hAnsiTheme="minorHAnsi" w:cstheme="minorHAnsi"/>
          <w:bCs/>
          <w:i/>
          <w:u w:val="single"/>
        </w:rPr>
      </w:pPr>
      <w:r>
        <w:rPr>
          <w:rFonts w:asciiTheme="minorHAnsi" w:hAnsiTheme="minorHAnsi" w:cstheme="minorHAnsi"/>
          <w:bCs/>
          <w:i/>
          <w:u w:val="single"/>
        </w:rPr>
        <w:t>Déménagement</w:t>
      </w:r>
    </w:p>
    <w:p>
      <w:pPr>
        <w:spacing w:after="120"/>
        <w:jc w:val="both"/>
        <w:rPr>
          <w:rFonts w:asciiTheme="minorHAnsi" w:hAnsiTheme="minorHAnsi" w:cstheme="minorHAnsi"/>
          <w:sz w:val="20"/>
          <w:szCs w:val="20"/>
        </w:rPr>
      </w:pPr>
      <w:r>
        <w:rPr>
          <w:rFonts w:asciiTheme="minorHAnsi" w:hAnsiTheme="minorHAnsi" w:cstheme="minorHAnsi"/>
          <w:sz w:val="20"/>
          <w:szCs w:val="20"/>
        </w:rPr>
        <w:t xml:space="preserve">Le déménagement des objets est assuré si et seulement si l’assuré transmet à l’assureur, </w:t>
      </w:r>
      <w:r>
        <w:rPr>
          <w:rFonts w:asciiTheme="minorHAnsi" w:hAnsiTheme="minorHAnsi" w:cstheme="minorHAnsi"/>
          <w:b/>
          <w:bCs/>
          <w:sz w:val="20"/>
          <w:szCs w:val="20"/>
          <w:u w:val="single"/>
        </w:rPr>
        <w:t>au moins 8 jours avant le début du déménagement</w:t>
      </w:r>
      <w:r>
        <w:rPr>
          <w:rFonts w:asciiTheme="minorHAnsi" w:hAnsiTheme="minorHAnsi" w:cstheme="minorHAnsi"/>
          <w:sz w:val="20"/>
          <w:szCs w:val="20"/>
        </w:rPr>
        <w:t>, une demande écrite signifiant le changement de lieu, la nouvelle adresse de risque ainsi que la période pendant laquelle le déménagement aura lieu.</w:t>
      </w:r>
    </w:p>
    <w:p>
      <w:pPr>
        <w:spacing w:after="120"/>
        <w:jc w:val="both"/>
        <w:rPr>
          <w:rFonts w:asciiTheme="minorHAnsi" w:hAnsiTheme="minorHAnsi" w:cstheme="minorHAnsi"/>
          <w:sz w:val="20"/>
          <w:szCs w:val="20"/>
        </w:rPr>
      </w:pPr>
      <w:r>
        <w:rPr>
          <w:rFonts w:asciiTheme="minorHAnsi" w:hAnsiTheme="minorHAnsi" w:cstheme="minorHAnsi"/>
          <w:sz w:val="20"/>
          <w:szCs w:val="20"/>
        </w:rPr>
        <w:t>Un seul transport est assuré (chargement, transport aller et déchargement).</w:t>
      </w:r>
    </w:p>
    <w:p>
      <w:pPr>
        <w:spacing w:after="120"/>
        <w:jc w:val="both"/>
        <w:rPr>
          <w:rFonts w:asciiTheme="minorHAnsi" w:hAnsiTheme="minorHAnsi" w:cstheme="minorHAnsi"/>
          <w:sz w:val="20"/>
          <w:szCs w:val="20"/>
        </w:rPr>
      </w:pPr>
      <w:r>
        <w:rPr>
          <w:rFonts w:asciiTheme="minorHAnsi" w:hAnsiTheme="minorHAnsi" w:cstheme="minorHAnsi"/>
          <w:sz w:val="20"/>
          <w:szCs w:val="20"/>
        </w:rPr>
        <w:t>Les exclusions reprises ci-dessus valent également pour les déménagements (ex : perte d’un objet pendant le déménagement).</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Démarches à entreprendre en cas de sinistre occasionné à un équipement</w:t>
      </w:r>
    </w:p>
    <w:p>
      <w:pPr>
        <w:spacing w:before="240" w:after="240"/>
        <w:jc w:val="both"/>
        <w:rPr>
          <w:rFonts w:ascii="Calibri" w:hAnsi="Calibri" w:cs="Calibri"/>
          <w:b/>
          <w:sz w:val="28"/>
          <w:szCs w:val="28"/>
        </w:rPr>
      </w:pPr>
      <w:r>
        <w:rPr>
          <w:rFonts w:ascii="Calibri" w:hAnsi="Calibri" w:cs="Calibri"/>
          <w:sz w:val="20"/>
          <w:szCs w:val="20"/>
        </w:rPr>
        <w:t>La procédure à suivre en cas où un dommage serait occasionné à un équipement couvert par l’assurance contractée par la Fédération Wallonie-Bruxelles est détaillée au point 10.5.1.3. de la présente circulaire.</w:t>
      </w:r>
      <w:r>
        <w:rPr>
          <w:rFonts w:ascii="Calibri" w:hAnsi="Calibri" w:cs="Calibri"/>
          <w:b/>
          <w:sz w:val="28"/>
          <w:szCs w:val="28"/>
        </w:rPr>
        <w:br w:type="page"/>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lastRenderedPageBreak/>
        <w:t>Assurance des équipements lors d’événements temporaires</w:t>
      </w:r>
    </w:p>
    <w:p>
      <w:pPr>
        <w:spacing w:after="120"/>
        <w:jc w:val="both"/>
        <w:rPr>
          <w:rFonts w:ascii="Calibri" w:hAnsi="Calibri" w:cs="Calibri"/>
          <w:sz w:val="20"/>
          <w:szCs w:val="20"/>
        </w:rPr>
      </w:pPr>
      <w:r>
        <w:rPr>
          <w:rFonts w:ascii="Calibri" w:hAnsi="Calibri" w:cs="Calibri"/>
          <w:sz w:val="20"/>
          <w:szCs w:val="20"/>
        </w:rPr>
        <w:t>A l’exception du matériel portable, type tablettes ou appareils de mesure, l’ensemble des équipements assurés par la Fédération Wallonie-Bruxelles le sont à une adresse bien définie, celle du CTA. Dans le cas où l’équipement est déplacé sans en avoir préalablement averti l’assurance et qu’un dommage surviendrait, aucune prise en charge financière ne sera accordée, ni via l’assurance, ni via la Fédération Wallonie-Bruxelles.</w:t>
      </w:r>
    </w:p>
    <w:p>
      <w:pPr>
        <w:spacing w:after="120"/>
        <w:jc w:val="both"/>
        <w:rPr>
          <w:rFonts w:ascii="Calibri" w:hAnsi="Calibri" w:cs="Calibri"/>
          <w:sz w:val="20"/>
          <w:szCs w:val="20"/>
        </w:rPr>
      </w:pPr>
      <w:r>
        <w:rPr>
          <w:rFonts w:ascii="Calibri" w:hAnsi="Calibri" w:cs="Calibri"/>
          <w:sz w:val="20"/>
          <w:szCs w:val="20"/>
        </w:rPr>
        <w:t>Il est néanmoins tout à fait possible de prendre une police d’assurance temporaire dans le cas où un événement prévu nécessiterait le déplacement d’un ou plusieurs équipements, par exemple pour en effectuer des démonstrations.</w:t>
      </w:r>
    </w:p>
    <w:p>
      <w:pPr>
        <w:spacing w:after="120"/>
        <w:jc w:val="both"/>
        <w:rPr>
          <w:rFonts w:ascii="Calibri" w:hAnsi="Calibri" w:cs="Calibri"/>
          <w:sz w:val="20"/>
          <w:szCs w:val="20"/>
        </w:rPr>
      </w:pPr>
      <w:r>
        <w:rPr>
          <w:rFonts w:ascii="Calibri" w:hAnsi="Calibri" w:cs="Calibri"/>
          <w:sz w:val="20"/>
          <w:szCs w:val="20"/>
        </w:rPr>
        <w:t>Dans ce cas, il convient de contacter l’administration afin qu’elle sollicite auprès de l’assureur une police d’assurance temporaire.</w:t>
      </w:r>
    </w:p>
    <w:p>
      <w:pPr>
        <w:spacing w:after="120"/>
        <w:jc w:val="both"/>
        <w:rPr>
          <w:rFonts w:ascii="Calibri" w:hAnsi="Calibri" w:cs="Calibri"/>
          <w:sz w:val="20"/>
          <w:szCs w:val="20"/>
        </w:rPr>
      </w:pPr>
      <w:r>
        <w:rPr>
          <w:rFonts w:ascii="Calibri" w:hAnsi="Calibri" w:cs="Calibri"/>
          <w:sz w:val="20"/>
          <w:szCs w:val="20"/>
        </w:rPr>
        <w:t>A cette occasion, les informations suivantes doivent être communiquées :</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Numéro de client FWB (174.481)</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Numéro de police du CTA</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Lieu de risque habituel + adresse</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Nature de l’équipement</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Valeur du bien assuré hors TVA</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Durée du déplacement</w:t>
      </w:r>
    </w:p>
    <w:p>
      <w:pPr>
        <w:pStyle w:val="Paragraphedeliste"/>
        <w:numPr>
          <w:ilvl w:val="0"/>
          <w:numId w:val="98"/>
        </w:numPr>
        <w:spacing w:after="120"/>
        <w:jc w:val="both"/>
        <w:rPr>
          <w:rFonts w:ascii="Calibri" w:hAnsi="Calibri" w:cs="Calibri"/>
          <w:sz w:val="20"/>
          <w:szCs w:val="20"/>
        </w:rPr>
      </w:pPr>
      <w:r>
        <w:rPr>
          <w:rFonts w:ascii="Calibri" w:hAnsi="Calibri" w:cs="Calibri"/>
          <w:sz w:val="20"/>
          <w:szCs w:val="20"/>
        </w:rPr>
        <w:t>Lieux où sera entreposé le matériel + adresse</w:t>
      </w:r>
    </w:p>
    <w:p>
      <w:pPr>
        <w:pStyle w:val="Paragraphedeliste"/>
        <w:spacing w:after="120"/>
        <w:ind w:left="0"/>
        <w:jc w:val="both"/>
        <w:rPr>
          <w:rFonts w:ascii="Calibri" w:hAnsi="Calibri" w:cs="Calibri"/>
          <w:sz w:val="20"/>
          <w:szCs w:val="20"/>
        </w:rPr>
      </w:pPr>
      <w:r>
        <w:rPr>
          <w:rFonts w:ascii="Calibri" w:hAnsi="Calibri" w:cs="Calibri"/>
          <w:sz w:val="20"/>
          <w:szCs w:val="20"/>
        </w:rPr>
        <w:t>La Fédération Wallonie-Bruxelles prendra alors à sa charge le coût lié à l’établissement de cette police temporaire.</w:t>
      </w:r>
    </w:p>
    <w:p>
      <w:pPr>
        <w:numPr>
          <w:ilvl w:val="1"/>
          <w:numId w:val="56"/>
        </w:numPr>
        <w:spacing w:before="240" w:after="240"/>
        <w:ind w:left="851" w:hanging="851"/>
        <w:jc w:val="both"/>
        <w:rPr>
          <w:rFonts w:ascii="Calibri" w:hAnsi="Calibri" w:cs="Calibri"/>
          <w:b/>
          <w:smallCaps/>
          <w:sz w:val="32"/>
          <w:szCs w:val="32"/>
        </w:rPr>
      </w:pPr>
      <w:r>
        <w:rPr>
          <w:rFonts w:ascii="Calibri" w:hAnsi="Calibri" w:cs="Calibri"/>
          <w:b/>
          <w:smallCaps/>
          <w:sz w:val="32"/>
          <w:szCs w:val="32"/>
        </w:rPr>
        <w:t>Procédure de déclassement du matériel irréparable</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Pour tout équipement acquis avant le 1</w:t>
      </w:r>
      <w:r>
        <w:rPr>
          <w:rFonts w:ascii="Calibri" w:hAnsi="Calibri" w:cs="Calibri"/>
          <w:b/>
          <w:sz w:val="28"/>
          <w:szCs w:val="28"/>
          <w:vertAlign w:val="superscript"/>
        </w:rPr>
        <w:t>er</w:t>
      </w:r>
      <w:r>
        <w:rPr>
          <w:rFonts w:ascii="Calibri" w:hAnsi="Calibri" w:cs="Calibri"/>
          <w:b/>
          <w:sz w:val="28"/>
          <w:szCs w:val="28"/>
        </w:rPr>
        <w:t xml:space="preserve"> janvier 2014</w:t>
      </w:r>
    </w:p>
    <w:p>
      <w:pPr>
        <w:numPr>
          <w:ilvl w:val="3"/>
          <w:numId w:val="56"/>
        </w:numPr>
        <w:spacing w:before="240" w:after="240"/>
        <w:ind w:left="993" w:hanging="993"/>
        <w:jc w:val="both"/>
        <w:rPr>
          <w:rFonts w:asciiTheme="minorHAnsi" w:hAnsiTheme="minorHAnsi" w:cstheme="minorHAnsi"/>
          <w:bCs/>
          <w:i/>
          <w:u w:val="single"/>
        </w:rPr>
      </w:pPr>
      <w:r>
        <w:rPr>
          <w:rFonts w:asciiTheme="minorHAnsi" w:hAnsiTheme="minorHAnsi" w:cstheme="minorHAnsi"/>
          <w:bCs/>
          <w:i/>
          <w:u w:val="single"/>
        </w:rPr>
        <w:t>CTA situés en Région wallonne</w:t>
      </w:r>
    </w:p>
    <w:p>
      <w:pPr>
        <w:spacing w:after="120"/>
        <w:jc w:val="both"/>
        <w:rPr>
          <w:rFonts w:ascii="Calibri" w:hAnsi="Calibri" w:cs="Calibri"/>
          <w:sz w:val="20"/>
          <w:szCs w:val="20"/>
        </w:rPr>
      </w:pPr>
      <w:r>
        <w:rPr>
          <w:rFonts w:ascii="Calibri" w:hAnsi="Calibri" w:cs="Calibri"/>
          <w:sz w:val="20"/>
          <w:szCs w:val="20"/>
        </w:rPr>
        <w:t>La Fédération Wallonie-Bruxelles étant propriétaire de l’équipement mis à leur disposition, et ce quel que soit le réseau d’enseignement, la procédure de déclassement est la suivante :</w:t>
      </w:r>
    </w:p>
    <w:p>
      <w:pPr>
        <w:numPr>
          <w:ilvl w:val="0"/>
          <w:numId w:val="3"/>
        </w:numPr>
        <w:spacing w:after="120"/>
        <w:ind w:left="714" w:hanging="357"/>
        <w:jc w:val="both"/>
        <w:rPr>
          <w:rFonts w:ascii="Calibri" w:hAnsi="Calibri" w:cs="Calibri"/>
          <w:sz w:val="20"/>
          <w:szCs w:val="20"/>
        </w:rPr>
      </w:pPr>
      <w:r>
        <w:rPr>
          <w:rFonts w:ascii="Calibri" w:hAnsi="Calibri" w:cs="Calibri"/>
          <w:sz w:val="20"/>
          <w:szCs w:val="20"/>
        </w:rPr>
        <w:t>Rédaction d’un rapport par le CTA justifiant de la demande de déclassement de matériel. Celui-ci devra impérativement comprendre les renseignements suivants :</w:t>
      </w:r>
    </w:p>
    <w:p>
      <w:pPr>
        <w:numPr>
          <w:ilvl w:val="0"/>
          <w:numId w:val="4"/>
        </w:numPr>
        <w:tabs>
          <w:tab w:val="clear" w:pos="720"/>
          <w:tab w:val="num" w:pos="1620"/>
        </w:tabs>
        <w:spacing w:after="120"/>
        <w:ind w:left="1616" w:hanging="357"/>
        <w:jc w:val="both"/>
        <w:rPr>
          <w:rFonts w:ascii="Calibri" w:hAnsi="Calibri" w:cs="Calibri"/>
          <w:sz w:val="20"/>
          <w:szCs w:val="20"/>
        </w:rPr>
      </w:pPr>
      <w:r>
        <w:rPr>
          <w:rFonts w:ascii="Calibri" w:hAnsi="Calibri" w:cs="Calibri"/>
          <w:sz w:val="20"/>
          <w:szCs w:val="20"/>
        </w:rPr>
        <w:t>Nature du matériel concerné</w:t>
      </w:r>
    </w:p>
    <w:p>
      <w:pPr>
        <w:numPr>
          <w:ilvl w:val="0"/>
          <w:numId w:val="4"/>
        </w:numPr>
        <w:tabs>
          <w:tab w:val="clear" w:pos="720"/>
          <w:tab w:val="num" w:pos="1620"/>
        </w:tabs>
        <w:spacing w:after="120"/>
        <w:ind w:left="1616" w:hanging="357"/>
        <w:jc w:val="both"/>
        <w:rPr>
          <w:rFonts w:ascii="Calibri" w:hAnsi="Calibri" w:cs="Calibri"/>
          <w:sz w:val="20"/>
          <w:szCs w:val="20"/>
        </w:rPr>
      </w:pPr>
      <w:r>
        <w:rPr>
          <w:rFonts w:ascii="Calibri" w:hAnsi="Calibri" w:cs="Calibri"/>
          <w:sz w:val="20"/>
          <w:szCs w:val="20"/>
        </w:rPr>
        <w:t>Numéro d’inventaire</w:t>
      </w:r>
    </w:p>
    <w:p>
      <w:pPr>
        <w:numPr>
          <w:ilvl w:val="0"/>
          <w:numId w:val="4"/>
        </w:numPr>
        <w:tabs>
          <w:tab w:val="clear" w:pos="720"/>
          <w:tab w:val="num" w:pos="1620"/>
        </w:tabs>
        <w:spacing w:after="120"/>
        <w:ind w:left="1616" w:hanging="357"/>
        <w:jc w:val="both"/>
        <w:rPr>
          <w:rFonts w:ascii="Calibri" w:hAnsi="Calibri" w:cs="Calibri"/>
          <w:sz w:val="20"/>
          <w:szCs w:val="20"/>
        </w:rPr>
      </w:pPr>
      <w:r>
        <w:rPr>
          <w:rFonts w:ascii="Calibri" w:hAnsi="Calibri" w:cs="Calibri"/>
          <w:sz w:val="20"/>
          <w:szCs w:val="20"/>
        </w:rPr>
        <w:t>Date et prix d’achat (avec copie de la facture)</w:t>
      </w:r>
    </w:p>
    <w:p>
      <w:pPr>
        <w:numPr>
          <w:ilvl w:val="0"/>
          <w:numId w:val="4"/>
        </w:numPr>
        <w:tabs>
          <w:tab w:val="clear" w:pos="720"/>
          <w:tab w:val="num" w:pos="1620"/>
        </w:tabs>
        <w:spacing w:after="120"/>
        <w:ind w:left="1616" w:hanging="357"/>
        <w:jc w:val="both"/>
        <w:rPr>
          <w:rFonts w:ascii="Calibri" w:hAnsi="Calibri" w:cs="Calibri"/>
          <w:sz w:val="20"/>
          <w:szCs w:val="20"/>
        </w:rPr>
      </w:pPr>
      <w:r>
        <w:rPr>
          <w:rFonts w:ascii="Calibri" w:hAnsi="Calibri" w:cs="Calibri"/>
          <w:sz w:val="20"/>
          <w:szCs w:val="20"/>
        </w:rPr>
        <w:t>Date de réception du matériel (avec copie du bordereau de réception attestant du bon fonctionnement du matériel)</w:t>
      </w:r>
    </w:p>
    <w:p>
      <w:pPr>
        <w:numPr>
          <w:ilvl w:val="0"/>
          <w:numId w:val="4"/>
        </w:numPr>
        <w:tabs>
          <w:tab w:val="clear" w:pos="720"/>
          <w:tab w:val="num" w:pos="1620"/>
        </w:tabs>
        <w:spacing w:after="120"/>
        <w:ind w:left="1616" w:hanging="357"/>
        <w:jc w:val="both"/>
        <w:rPr>
          <w:rFonts w:ascii="Calibri" w:hAnsi="Calibri" w:cs="Calibri"/>
          <w:sz w:val="20"/>
          <w:szCs w:val="20"/>
        </w:rPr>
      </w:pPr>
      <w:r>
        <w:rPr>
          <w:rFonts w:ascii="Calibri" w:hAnsi="Calibri" w:cs="Calibri"/>
          <w:sz w:val="20"/>
          <w:szCs w:val="20"/>
        </w:rPr>
        <w:t>Date à laquelle le dommage a été constaté</w:t>
      </w:r>
    </w:p>
    <w:p>
      <w:pPr>
        <w:numPr>
          <w:ilvl w:val="0"/>
          <w:numId w:val="4"/>
        </w:numPr>
        <w:tabs>
          <w:tab w:val="clear" w:pos="720"/>
          <w:tab w:val="num" w:pos="1620"/>
        </w:tabs>
        <w:spacing w:after="120"/>
        <w:ind w:left="1616" w:hanging="357"/>
        <w:jc w:val="both"/>
        <w:rPr>
          <w:rFonts w:ascii="Calibri" w:hAnsi="Calibri" w:cs="Calibri"/>
          <w:sz w:val="20"/>
          <w:szCs w:val="20"/>
        </w:rPr>
      </w:pPr>
      <w:r>
        <w:rPr>
          <w:rFonts w:ascii="Calibri" w:hAnsi="Calibri" w:cs="Calibri"/>
          <w:sz w:val="20"/>
          <w:szCs w:val="20"/>
        </w:rPr>
        <w:t>Circonstances dans lesquelles le dommage a été constaté</w:t>
      </w:r>
    </w:p>
    <w:p>
      <w:pPr>
        <w:numPr>
          <w:ilvl w:val="0"/>
          <w:numId w:val="4"/>
        </w:numPr>
        <w:tabs>
          <w:tab w:val="clear" w:pos="720"/>
          <w:tab w:val="num" w:pos="1620"/>
        </w:tabs>
        <w:spacing w:after="120"/>
        <w:ind w:left="1620"/>
        <w:jc w:val="both"/>
        <w:rPr>
          <w:rFonts w:ascii="Calibri" w:hAnsi="Calibri" w:cs="Calibri"/>
          <w:sz w:val="20"/>
          <w:szCs w:val="20"/>
        </w:rPr>
      </w:pPr>
      <w:r>
        <w:rPr>
          <w:rFonts w:ascii="Calibri" w:hAnsi="Calibri" w:cs="Calibri"/>
          <w:sz w:val="20"/>
          <w:szCs w:val="20"/>
        </w:rPr>
        <w:t>Motivations de la demande de déclassement</w:t>
      </w:r>
    </w:p>
    <w:p>
      <w:pPr>
        <w:numPr>
          <w:ilvl w:val="0"/>
          <w:numId w:val="3"/>
        </w:numPr>
        <w:spacing w:after="120"/>
        <w:ind w:left="714" w:hanging="357"/>
        <w:jc w:val="both"/>
        <w:rPr>
          <w:rFonts w:ascii="Calibri" w:hAnsi="Calibri" w:cs="Calibri"/>
          <w:sz w:val="20"/>
          <w:szCs w:val="20"/>
        </w:rPr>
      </w:pPr>
      <w:r>
        <w:rPr>
          <w:rFonts w:ascii="Calibri" w:hAnsi="Calibri" w:cs="Calibri"/>
          <w:sz w:val="20"/>
          <w:szCs w:val="20"/>
        </w:rPr>
        <w:t>Envoi dans le mois de ce rapport à l’administration pour examen</w:t>
      </w:r>
    </w:p>
    <w:p>
      <w:pPr>
        <w:numPr>
          <w:ilvl w:val="0"/>
          <w:numId w:val="3"/>
        </w:numPr>
        <w:spacing w:after="120"/>
        <w:ind w:left="714" w:hanging="357"/>
        <w:jc w:val="both"/>
        <w:rPr>
          <w:rFonts w:ascii="Calibri" w:hAnsi="Calibri" w:cs="Calibri"/>
          <w:sz w:val="20"/>
          <w:szCs w:val="20"/>
        </w:rPr>
      </w:pPr>
      <w:r>
        <w:rPr>
          <w:rFonts w:ascii="Calibri" w:hAnsi="Calibri" w:cs="Calibri"/>
          <w:sz w:val="20"/>
          <w:szCs w:val="20"/>
        </w:rPr>
        <w:t>Le cas échéant, soumission de l’autorisation de déclassement à Madame la Ministre</w:t>
      </w:r>
    </w:p>
    <w:p>
      <w:pPr>
        <w:spacing w:after="120"/>
        <w:jc w:val="both"/>
        <w:rPr>
          <w:rFonts w:ascii="Calibri" w:hAnsi="Calibri" w:cs="Calibri"/>
          <w:b/>
          <w:i/>
          <w:sz w:val="22"/>
          <w:szCs w:val="22"/>
        </w:rPr>
      </w:pPr>
      <w:r>
        <w:rPr>
          <w:rFonts w:ascii="Calibri" w:hAnsi="Calibri" w:cs="Calibri"/>
          <w:sz w:val="20"/>
          <w:szCs w:val="20"/>
        </w:rPr>
        <w:t>L’administration se réserve la possibilité de demander l’envoi d’un vérificateur comptable afin d’établir un rapport relatif au matériel à déclasser.</w:t>
      </w:r>
      <w:r>
        <w:rPr>
          <w:rFonts w:ascii="Calibri" w:hAnsi="Calibri" w:cs="Calibri"/>
          <w:b/>
          <w:i/>
          <w:sz w:val="22"/>
          <w:szCs w:val="22"/>
        </w:rPr>
        <w:br w:type="page"/>
      </w:r>
    </w:p>
    <w:p>
      <w:pPr>
        <w:numPr>
          <w:ilvl w:val="3"/>
          <w:numId w:val="56"/>
        </w:numPr>
        <w:spacing w:before="240" w:after="240"/>
        <w:ind w:left="993" w:hanging="993"/>
        <w:jc w:val="both"/>
        <w:rPr>
          <w:rFonts w:asciiTheme="minorHAnsi" w:hAnsiTheme="minorHAnsi" w:cstheme="minorHAnsi"/>
          <w:bCs/>
          <w:i/>
          <w:u w:val="single"/>
        </w:rPr>
      </w:pPr>
      <w:r>
        <w:rPr>
          <w:rFonts w:asciiTheme="minorHAnsi" w:hAnsiTheme="minorHAnsi" w:cstheme="minorHAnsi"/>
          <w:bCs/>
          <w:i/>
          <w:u w:val="single"/>
        </w:rPr>
        <w:lastRenderedPageBreak/>
        <w:t>CTA situés en Région de Bruxelles-Capitale</w:t>
      </w:r>
    </w:p>
    <w:p>
      <w:pPr>
        <w:spacing w:after="120"/>
        <w:jc w:val="both"/>
        <w:rPr>
          <w:rFonts w:ascii="Calibri" w:hAnsi="Calibri" w:cs="Calibri"/>
          <w:sz w:val="20"/>
          <w:szCs w:val="20"/>
        </w:rPr>
      </w:pPr>
      <w:r>
        <w:rPr>
          <w:rFonts w:ascii="Calibri" w:hAnsi="Calibri" w:cs="Calibri"/>
          <w:sz w:val="20"/>
          <w:szCs w:val="20"/>
        </w:rPr>
        <w:t>Les CTA situés en Région de Bruxelles-Capitale doivent se tourner vers leur pouvoir organisateur afin de déclasser l’équipement à remplacer selon la procédure en vigueur dans leur réseau d’enseignement, ces centres étant propriétaires du matériel acquis.</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Pour tout équipement acquis après le 1</w:t>
      </w:r>
      <w:r>
        <w:rPr>
          <w:rFonts w:ascii="Calibri" w:hAnsi="Calibri" w:cs="Calibri"/>
          <w:b/>
          <w:sz w:val="28"/>
          <w:szCs w:val="28"/>
          <w:vertAlign w:val="superscript"/>
        </w:rPr>
        <w:t>er</w:t>
      </w:r>
      <w:r>
        <w:rPr>
          <w:rFonts w:ascii="Calibri" w:hAnsi="Calibri" w:cs="Calibri"/>
          <w:b/>
          <w:sz w:val="28"/>
          <w:szCs w:val="28"/>
        </w:rPr>
        <w:t xml:space="preserve"> janvier 2014</w:t>
      </w:r>
    </w:p>
    <w:p>
      <w:pPr>
        <w:spacing w:after="120"/>
        <w:jc w:val="both"/>
        <w:rPr>
          <w:rFonts w:ascii="Calibri" w:hAnsi="Calibri" w:cs="Calibri"/>
          <w:sz w:val="20"/>
          <w:szCs w:val="20"/>
        </w:rPr>
      </w:pPr>
      <w:r>
        <w:rPr>
          <w:rFonts w:ascii="Calibri" w:hAnsi="Calibri" w:cs="Calibri"/>
          <w:sz w:val="20"/>
          <w:szCs w:val="20"/>
        </w:rPr>
        <w:t>La Fédération Wallonie-Bruxelles étant propriétaire de ces équipements, il y a lieu d’appliquer la procédure définie pour les CTA situés en Région wallonne (cf. point 10.7.1.1).</w:t>
      </w:r>
    </w:p>
    <w:p>
      <w:pPr>
        <w:numPr>
          <w:ilvl w:val="2"/>
          <w:numId w:val="56"/>
        </w:numPr>
        <w:spacing w:before="240" w:after="240"/>
        <w:ind w:left="993" w:hanging="993"/>
        <w:jc w:val="both"/>
        <w:rPr>
          <w:rFonts w:ascii="Calibri" w:hAnsi="Calibri" w:cs="Calibri"/>
          <w:b/>
          <w:sz w:val="28"/>
          <w:szCs w:val="28"/>
        </w:rPr>
      </w:pPr>
      <w:r>
        <w:rPr>
          <w:rFonts w:ascii="Calibri" w:hAnsi="Calibri" w:cs="Calibri"/>
          <w:b/>
          <w:sz w:val="28"/>
          <w:szCs w:val="28"/>
        </w:rPr>
        <w:t>Obligations liées au déclassement de matériel CTA (quel que soit le propriétaire du matériel)</w:t>
      </w:r>
    </w:p>
    <w:p>
      <w:pPr>
        <w:spacing w:after="120"/>
        <w:jc w:val="both"/>
        <w:rPr>
          <w:rFonts w:ascii="Calibri" w:hAnsi="Calibri" w:cs="Calibri"/>
          <w:sz w:val="20"/>
          <w:szCs w:val="20"/>
        </w:rPr>
      </w:pPr>
      <w:r>
        <w:rPr>
          <w:rFonts w:ascii="Calibri" w:hAnsi="Calibri" w:cs="Calibri"/>
          <w:sz w:val="20"/>
          <w:szCs w:val="20"/>
        </w:rPr>
        <w:t>L’équipement défectueux est conservé dans le CTA jusqu’à réception de l’autorisation de déclassement.</w:t>
      </w:r>
    </w:p>
    <w:p>
      <w:pPr>
        <w:spacing w:after="120"/>
        <w:ind w:left="-11"/>
        <w:jc w:val="both"/>
        <w:rPr>
          <w:rFonts w:ascii="Calibri" w:hAnsi="Calibri" w:cs="Calibri"/>
          <w:sz w:val="20"/>
          <w:szCs w:val="20"/>
        </w:rPr>
      </w:pPr>
      <w:r>
        <w:rPr>
          <w:rFonts w:ascii="Calibri" w:hAnsi="Calibri" w:cs="Calibri"/>
          <w:sz w:val="20"/>
          <w:szCs w:val="20"/>
        </w:rPr>
        <w:t xml:space="preserve">Le dossier complet (rapport, autorisation de déclassement, facture, etc.) doit être conservé en cas de contrôle et sera archivé pour une période de 10 ans. </w:t>
      </w:r>
    </w:p>
    <w:p>
      <w:pPr>
        <w:spacing w:after="120"/>
        <w:ind w:left="-11"/>
        <w:jc w:val="both"/>
        <w:rPr>
          <w:rFonts w:ascii="Calibri" w:hAnsi="Calibri" w:cs="Calibri"/>
          <w:b/>
          <w:sz w:val="28"/>
          <w:szCs w:val="28"/>
        </w:rPr>
      </w:pPr>
      <w:r>
        <w:rPr>
          <w:rFonts w:ascii="Calibri" w:hAnsi="Calibri" w:cs="Calibri"/>
          <w:sz w:val="20"/>
          <w:szCs w:val="20"/>
        </w:rPr>
        <w:t>Une fois l’autorisation de déclassement obtenue, il convient de supprimer cet équipement du matériel cadastré sur le logiciel Archibus.</w:t>
      </w:r>
    </w:p>
    <w:p>
      <w:pPr>
        <w:numPr>
          <w:ilvl w:val="1"/>
          <w:numId w:val="56"/>
        </w:numPr>
        <w:spacing w:before="240" w:after="240"/>
        <w:ind w:left="851" w:hanging="851"/>
        <w:jc w:val="both"/>
        <w:rPr>
          <w:rFonts w:ascii="Calibri" w:hAnsi="Calibri" w:cs="Calibri"/>
          <w:b/>
          <w:smallCaps/>
          <w:sz w:val="32"/>
          <w:szCs w:val="32"/>
        </w:rPr>
      </w:pPr>
      <w:r>
        <w:rPr>
          <w:rFonts w:ascii="Calibri" w:hAnsi="Calibri" w:cs="Calibri"/>
          <w:b/>
          <w:smallCaps/>
          <w:sz w:val="32"/>
          <w:szCs w:val="32"/>
        </w:rPr>
        <w:t>Analyse des risques pour les équipements proposés</w:t>
      </w:r>
    </w:p>
    <w:p>
      <w:pPr>
        <w:spacing w:after="120"/>
        <w:jc w:val="both"/>
        <w:rPr>
          <w:rFonts w:ascii="Calibri" w:hAnsi="Calibri" w:cs="Calibri"/>
          <w:sz w:val="20"/>
          <w:szCs w:val="20"/>
        </w:rPr>
      </w:pPr>
      <w:r>
        <w:rPr>
          <w:rFonts w:ascii="Calibri" w:hAnsi="Calibri" w:cs="Calibri"/>
          <w:sz w:val="20"/>
          <w:szCs w:val="20"/>
        </w:rPr>
        <w:t>Ce document est propre à chaque CTA et doit être communiqué de manière systématique aux opérateurs-utilisateurs en fonction des formations organisées.</w:t>
      </w:r>
    </w:p>
    <w:p>
      <w:pPr>
        <w:spacing w:after="120"/>
        <w:jc w:val="both"/>
        <w:rPr>
          <w:rFonts w:ascii="Calibri" w:hAnsi="Calibri" w:cs="Calibri"/>
          <w:sz w:val="20"/>
          <w:szCs w:val="20"/>
        </w:rPr>
      </w:pPr>
      <w:r>
        <w:rPr>
          <w:rFonts w:ascii="Calibri" w:hAnsi="Calibri" w:cs="Calibri"/>
          <w:sz w:val="20"/>
          <w:szCs w:val="20"/>
        </w:rPr>
        <w:t>Si le même opérateur-utilisateur vient se former plusieurs fois au cours de l’année scolaire, il n’est pas nécessaire de lui faire signer ce document lors de chaque formation. Une communication par année scolaire lors de la première formation réservée est suffisante.</w:t>
      </w:r>
    </w:p>
    <w:p>
      <w:pPr>
        <w:numPr>
          <w:ilvl w:val="1"/>
          <w:numId w:val="56"/>
        </w:numPr>
        <w:spacing w:before="240" w:after="240"/>
        <w:ind w:left="851" w:hanging="851"/>
        <w:jc w:val="both"/>
        <w:rPr>
          <w:rFonts w:ascii="Calibri" w:hAnsi="Calibri" w:cs="Calibri"/>
          <w:b/>
          <w:smallCaps/>
          <w:sz w:val="32"/>
          <w:szCs w:val="32"/>
        </w:rPr>
      </w:pPr>
      <w:r>
        <w:rPr>
          <w:rFonts w:ascii="Calibri" w:hAnsi="Calibri" w:cs="Calibri"/>
          <w:b/>
          <w:smallCaps/>
          <w:sz w:val="32"/>
          <w:szCs w:val="32"/>
        </w:rPr>
        <w:t>Inventaire des équipements</w:t>
      </w:r>
    </w:p>
    <w:p>
      <w:pPr>
        <w:spacing w:after="120"/>
        <w:jc w:val="both"/>
        <w:rPr>
          <w:rFonts w:asciiTheme="minorHAnsi" w:hAnsiTheme="minorHAnsi" w:cstheme="minorHAnsi"/>
          <w:sz w:val="20"/>
          <w:szCs w:val="20"/>
        </w:rPr>
      </w:pPr>
      <w:r>
        <w:rPr>
          <w:rFonts w:asciiTheme="minorHAnsi" w:hAnsiTheme="minorHAnsi" w:cstheme="minorHAnsi"/>
          <w:sz w:val="20"/>
          <w:szCs w:val="20"/>
        </w:rPr>
        <w:t>Les CTA ont encodé tous les équipements acquis avant 2014 dans le cadastre des équipements pédagogiques de l’enseignement qualifiant, via la plateforme Archibus. Les équipements acquis par la Fédération Wallonie-Bruxelles et mis à disposition des CTA après le 1</w:t>
      </w:r>
      <w:r>
        <w:rPr>
          <w:rFonts w:asciiTheme="minorHAnsi" w:hAnsiTheme="minorHAnsi" w:cstheme="minorHAnsi"/>
          <w:sz w:val="20"/>
          <w:szCs w:val="20"/>
          <w:vertAlign w:val="superscript"/>
        </w:rPr>
        <w:t>er</w:t>
      </w:r>
      <w:r>
        <w:rPr>
          <w:rFonts w:asciiTheme="minorHAnsi" w:hAnsiTheme="minorHAnsi" w:cstheme="minorHAnsi"/>
          <w:sz w:val="20"/>
          <w:szCs w:val="20"/>
        </w:rPr>
        <w:t xml:space="preserve"> janvier 2014 (voir point 10.1.2) sont automatiquement inventoriés dans le logiciel.</w:t>
      </w:r>
    </w:p>
    <w:p>
      <w:pPr>
        <w:spacing w:after="120"/>
        <w:jc w:val="both"/>
        <w:rPr>
          <w:rFonts w:asciiTheme="minorHAnsi" w:hAnsiTheme="minorHAnsi" w:cstheme="minorHAnsi"/>
          <w:sz w:val="20"/>
          <w:szCs w:val="20"/>
        </w:rPr>
      </w:pPr>
      <w:r>
        <w:rPr>
          <w:rFonts w:asciiTheme="minorHAnsi" w:hAnsiTheme="minorHAnsi" w:cstheme="minorHAnsi"/>
          <w:sz w:val="20"/>
          <w:szCs w:val="20"/>
        </w:rPr>
        <w:t>Le cadastre en ligne via la plateforme Archibus permet également à tout moment de consulter l’inventaire des équipements et d’en extraire les informations nécessaires via un fichier Excel.</w:t>
      </w:r>
    </w:p>
    <w:p>
      <w:pPr>
        <w:spacing w:after="120"/>
        <w:jc w:val="both"/>
        <w:rPr>
          <w:rFonts w:asciiTheme="minorHAnsi" w:hAnsiTheme="minorHAnsi" w:cstheme="minorHAnsi"/>
          <w:sz w:val="20"/>
          <w:szCs w:val="20"/>
        </w:rPr>
      </w:pPr>
      <w:r>
        <w:rPr>
          <w:rFonts w:asciiTheme="minorHAnsi" w:hAnsiTheme="minorHAnsi" w:cstheme="minorHAnsi"/>
          <w:sz w:val="20"/>
          <w:szCs w:val="20"/>
        </w:rPr>
        <w:t>La plate-forme Archibus est accessible via le lien suivant :</w:t>
      </w:r>
    </w:p>
    <w:p>
      <w:pPr>
        <w:spacing w:after="120"/>
        <w:jc w:val="both"/>
        <w:rPr>
          <w:rFonts w:asciiTheme="minorHAnsi" w:hAnsiTheme="minorHAnsi" w:cstheme="minorHAnsi"/>
          <w:sz w:val="20"/>
          <w:szCs w:val="20"/>
        </w:rPr>
      </w:pPr>
      <w:hyperlink r:id="rId17" w:history="1">
        <w:r>
          <w:rPr>
            <w:rStyle w:val="Lienhypertexte"/>
            <w:rFonts w:asciiTheme="minorHAnsi" w:hAnsiTheme="minorHAnsi" w:cstheme="minorHAnsi"/>
            <w:sz w:val="20"/>
            <w:szCs w:val="20"/>
          </w:rPr>
          <w:t>https://www.enseignement.cfwb.be/archibus/login.axvw</w:t>
        </w:r>
      </w:hyperlink>
      <w:r>
        <w:rPr>
          <w:rFonts w:asciiTheme="minorHAnsi" w:hAnsiTheme="minorHAnsi" w:cstheme="minorHAnsi"/>
          <w:sz w:val="20"/>
          <w:szCs w:val="20"/>
        </w:rPr>
        <w:t>.</w:t>
      </w:r>
    </w:p>
    <w:p>
      <w:pPr>
        <w:spacing w:after="120"/>
        <w:jc w:val="both"/>
        <w:rPr>
          <w:rFonts w:asciiTheme="minorHAnsi" w:hAnsiTheme="minorHAnsi" w:cstheme="minorHAnsi"/>
          <w:sz w:val="20"/>
          <w:szCs w:val="20"/>
        </w:rPr>
      </w:pPr>
      <w:r>
        <w:rPr>
          <w:rFonts w:asciiTheme="minorHAnsi" w:hAnsiTheme="minorHAnsi" w:cstheme="minorHAnsi"/>
          <w:sz w:val="20"/>
          <w:szCs w:val="20"/>
        </w:rPr>
        <w:t>Chaque CTA doit disposer d’un login et d’un mot de passe personnalisé afin d’accéder à son cadastre. Ces accès ont été fournis par la cellule Fonds d’équipement et peuvent être modifiés sur demande.</w:t>
      </w:r>
    </w:p>
    <w:p>
      <w:pPr>
        <w:spacing w:after="120"/>
        <w:jc w:val="both"/>
        <w:rPr>
          <w:rFonts w:asciiTheme="minorHAnsi" w:hAnsiTheme="minorHAnsi" w:cstheme="minorHAnsi"/>
          <w:sz w:val="20"/>
          <w:szCs w:val="20"/>
        </w:rPr>
      </w:pPr>
      <w:r>
        <w:rPr>
          <w:rFonts w:asciiTheme="minorHAnsi" w:hAnsiTheme="minorHAnsi" w:cstheme="minorHAnsi"/>
          <w:sz w:val="20"/>
          <w:szCs w:val="20"/>
        </w:rPr>
        <w:t>Un vade-mecum d’utilisation est également disponible auprès de l’administration.</w:t>
      </w:r>
    </w:p>
    <w:p>
      <w:pPr>
        <w:spacing w:after="120"/>
        <w:jc w:val="both"/>
        <w:rPr>
          <w:rFonts w:asciiTheme="minorHAnsi" w:hAnsiTheme="minorHAnsi" w:cstheme="minorHAnsi"/>
          <w:sz w:val="20"/>
          <w:szCs w:val="20"/>
        </w:rPr>
      </w:pPr>
      <w:r>
        <w:rPr>
          <w:rFonts w:asciiTheme="minorHAnsi" w:hAnsiTheme="minorHAnsi" w:cstheme="minorHAnsi"/>
          <w:sz w:val="20"/>
          <w:szCs w:val="20"/>
        </w:rPr>
        <w:t>Afin de se procurer ce vade-mecum, ou pour toute question concernant le cadastre ou la plateforme, les centres peuvent contacter la cellule Fonds d’équipement de l’administration :</w:t>
      </w:r>
    </w:p>
    <w:p>
      <w:pPr>
        <w:spacing w:after="120"/>
        <w:jc w:val="center"/>
        <w:rPr>
          <w:rFonts w:asciiTheme="minorHAnsi" w:hAnsiTheme="minorHAnsi" w:cstheme="minorHAnsi"/>
          <w:sz w:val="20"/>
          <w:szCs w:val="20"/>
        </w:rPr>
      </w:pPr>
      <w:r>
        <w:rPr>
          <w:rFonts w:asciiTheme="minorHAnsi" w:hAnsiTheme="minorHAnsi" w:cstheme="minorHAnsi"/>
          <w:sz w:val="20"/>
          <w:szCs w:val="20"/>
        </w:rPr>
        <w:t xml:space="preserve">Didier Milis : 02/690 85 07 – </w:t>
      </w:r>
      <w:hyperlink r:id="rId18" w:history="1">
        <w:r>
          <w:rPr>
            <w:rStyle w:val="Lienhypertexte"/>
            <w:rFonts w:asciiTheme="minorHAnsi" w:hAnsiTheme="minorHAnsi" w:cstheme="minorHAnsi"/>
            <w:sz w:val="20"/>
            <w:szCs w:val="20"/>
          </w:rPr>
          <w:t>didier.milis@cfwb.be</w:t>
        </w:r>
      </w:hyperlink>
    </w:p>
    <w:p>
      <w:pPr>
        <w:spacing w:after="240"/>
        <w:jc w:val="center"/>
        <w:rPr>
          <w:rStyle w:val="Lienhypertexte"/>
          <w:rFonts w:asciiTheme="minorHAnsi" w:hAnsiTheme="minorHAnsi" w:cstheme="minorHAnsi"/>
          <w:sz w:val="20"/>
          <w:szCs w:val="20"/>
          <w:lang w:val="en-US"/>
        </w:rPr>
      </w:pPr>
      <w:r>
        <w:rPr>
          <w:rFonts w:asciiTheme="minorHAnsi" w:hAnsiTheme="minorHAnsi" w:cstheme="minorHAnsi"/>
          <w:sz w:val="20"/>
          <w:szCs w:val="20"/>
          <w:lang w:val="en-US"/>
        </w:rPr>
        <w:t xml:space="preserve">Thomas Belladone : 02/690 83 64 – </w:t>
      </w:r>
      <w:hyperlink r:id="rId19" w:history="1">
        <w:r>
          <w:rPr>
            <w:rStyle w:val="Lienhypertexte"/>
            <w:rFonts w:asciiTheme="minorHAnsi" w:hAnsiTheme="minorHAnsi" w:cstheme="minorHAnsi"/>
            <w:sz w:val="20"/>
            <w:szCs w:val="20"/>
            <w:lang w:val="en-US"/>
          </w:rPr>
          <w:t>thomas.belladone@cfwb.be</w:t>
        </w:r>
      </w:hyperlink>
    </w:p>
    <w:p>
      <w:pPr>
        <w:rPr>
          <w:rStyle w:val="Lienhypertexte"/>
          <w:rFonts w:asciiTheme="minorHAnsi" w:hAnsiTheme="minorHAnsi" w:cstheme="minorHAnsi"/>
          <w:color w:val="auto"/>
          <w:sz w:val="20"/>
          <w:szCs w:val="20"/>
          <w:u w:val="none"/>
          <w:lang w:val="fr-FR"/>
        </w:rPr>
      </w:pPr>
      <w:r>
        <w:rPr>
          <w:rStyle w:val="Lienhypertexte"/>
          <w:rFonts w:asciiTheme="minorHAnsi" w:hAnsiTheme="minorHAnsi" w:cstheme="minorHAnsi"/>
          <w:color w:val="auto"/>
          <w:sz w:val="20"/>
          <w:szCs w:val="20"/>
          <w:u w:val="none"/>
          <w:lang w:val="fr-FR"/>
        </w:rPr>
        <w:br w:type="page"/>
      </w:r>
    </w:p>
    <w:p>
      <w:pPr>
        <w:spacing w:after="120"/>
        <w:jc w:val="both"/>
        <w:rPr>
          <w:rFonts w:asciiTheme="minorHAnsi" w:hAnsiTheme="minorHAnsi" w:cstheme="minorHAnsi"/>
        </w:rPr>
      </w:pPr>
      <w:r>
        <w:rPr>
          <w:rStyle w:val="Lienhypertexte"/>
          <w:rFonts w:asciiTheme="minorHAnsi" w:hAnsiTheme="minorHAnsi" w:cstheme="minorHAnsi"/>
          <w:color w:val="auto"/>
          <w:sz w:val="20"/>
          <w:szCs w:val="20"/>
          <w:u w:val="none"/>
          <w:lang w:val="fr-FR"/>
        </w:rPr>
        <w:lastRenderedPageBreak/>
        <w:t>Une fois par an, il est demandé aux CTA de compléter et/ou de mettre à jour un document d’inventaire spécifiquement destiné à l’assureur qui devra inclure certaines informations qui ne peuvent être intégrées dans Archibus, telles que la catégorie de matériel au sein de laquelle se situent les équipements (</w:t>
      </w:r>
      <w:r>
        <w:rPr>
          <w:rFonts w:asciiTheme="minorHAnsi" w:hAnsiTheme="minorHAnsi" w:cstheme="minorHAnsi"/>
          <w:sz w:val="20"/>
          <w:szCs w:val="20"/>
        </w:rPr>
        <w:t>matériel fixe - matériel mobile - matériel roulant/agricole - véhicules didactisés)</w:t>
      </w:r>
      <w:r>
        <w:rPr>
          <w:rFonts w:asciiTheme="minorHAnsi" w:hAnsiTheme="minorHAnsi" w:cstheme="minorHAnsi"/>
        </w:rPr>
        <w:t>.</w:t>
      </w:r>
    </w:p>
    <w:p>
      <w:pPr>
        <w:spacing w:after="120"/>
        <w:jc w:val="both"/>
        <w:rPr>
          <w:rFonts w:asciiTheme="minorHAnsi" w:hAnsiTheme="minorHAnsi" w:cstheme="minorHAnsi"/>
          <w:b/>
          <w:sz w:val="36"/>
          <w:szCs w:val="36"/>
          <w:lang w:val="fr-FR"/>
        </w:rPr>
      </w:pPr>
      <w:r>
        <w:rPr>
          <w:rFonts w:asciiTheme="minorHAnsi" w:hAnsiTheme="minorHAnsi" w:cstheme="minorHAnsi"/>
        </w:rPr>
        <w:t>L</w:t>
      </w:r>
      <w:r>
        <w:rPr>
          <w:rStyle w:val="Lienhypertexte"/>
          <w:rFonts w:asciiTheme="minorHAnsi" w:hAnsiTheme="minorHAnsi" w:cstheme="minorHAnsi"/>
          <w:color w:val="auto"/>
          <w:sz w:val="20"/>
          <w:szCs w:val="20"/>
          <w:u w:val="none"/>
          <w:lang w:val="fr-FR"/>
        </w:rPr>
        <w:t>’intégralité des équipements acquis par la Fédération Wallonie-Bruxelles doit y figurer, y compris les équipements non pédagogiques.</w:t>
      </w:r>
    </w:p>
    <w:p>
      <w:pPr>
        <w:numPr>
          <w:ilvl w:val="0"/>
          <w:numId w:val="2"/>
        </w:numPr>
        <w:tabs>
          <w:tab w:val="clear" w:pos="720"/>
          <w:tab w:val="num" w:pos="540"/>
        </w:tabs>
        <w:spacing w:before="360" w:after="360"/>
        <w:ind w:left="567" w:hanging="567"/>
        <w:jc w:val="both"/>
        <w:rPr>
          <w:rFonts w:ascii="Calibri" w:hAnsi="Calibri" w:cs="Calibri"/>
          <w:b/>
          <w:smallCaps/>
          <w:sz w:val="40"/>
          <w:szCs w:val="40"/>
          <w:u w:val="single"/>
        </w:rPr>
      </w:pPr>
      <w:r>
        <w:rPr>
          <w:rFonts w:ascii="Calibri" w:hAnsi="Calibri" w:cs="Calibri"/>
          <w:b/>
          <w:smallCaps/>
          <w:sz w:val="40"/>
          <w:szCs w:val="40"/>
          <w:u w:val="single"/>
        </w:rPr>
        <w:t>Obligations de publicité</w:t>
      </w:r>
      <w:r>
        <w:rPr>
          <w:rFonts w:ascii="Calibri" w:hAnsi="Calibri" w:cs="Calibri"/>
          <w:b/>
          <w:smallCaps/>
          <w:sz w:val="40"/>
          <w:szCs w:val="40"/>
          <w:u w:val="single"/>
          <w:vertAlign w:val="superscript"/>
        </w:rPr>
        <w:footnoteReference w:id="5"/>
      </w:r>
    </w:p>
    <w:p>
      <w:pPr>
        <w:numPr>
          <w:ilvl w:val="1"/>
          <w:numId w:val="57"/>
        </w:numPr>
        <w:spacing w:before="240" w:after="240"/>
        <w:ind w:left="567" w:hanging="567"/>
        <w:jc w:val="both"/>
        <w:rPr>
          <w:rFonts w:ascii="Calibri" w:hAnsi="Calibri" w:cs="Calibri"/>
          <w:b/>
          <w:smallCaps/>
          <w:sz w:val="32"/>
          <w:szCs w:val="32"/>
        </w:rPr>
      </w:pPr>
      <w:r>
        <w:rPr>
          <w:rFonts w:ascii="Calibri" w:hAnsi="Calibri" w:cs="Calibri"/>
          <w:b/>
          <w:smallCaps/>
          <w:sz w:val="32"/>
          <w:szCs w:val="32"/>
        </w:rPr>
        <w:t>Visibilité des CTA</w:t>
      </w:r>
    </w:p>
    <w:p>
      <w:pPr>
        <w:spacing w:after="120"/>
        <w:jc w:val="both"/>
        <w:rPr>
          <w:rFonts w:ascii="Calibri" w:hAnsi="Calibri" w:cs="Calibri"/>
          <w:sz w:val="20"/>
          <w:szCs w:val="20"/>
        </w:rPr>
      </w:pPr>
      <w:r>
        <w:rPr>
          <w:rFonts w:ascii="Calibri" w:hAnsi="Calibri" w:cs="Calibri"/>
          <w:sz w:val="20"/>
          <w:szCs w:val="20"/>
        </w:rPr>
        <w:t>Le dispositif des CTA étant encore relativement récent, il est important d’entreprendre un maximum d’actions afin de les faire connaître auprès de leurs publics-cible. Les CTA sont donc vivement encouragés à réaliser toutes les démarches permettant d’augmenter leur visibilité : promotion de leur offre de formation auprès de leurs publics par l’envoi de catalogues, création de pages Internet, présence sur les réseaux sociaux, participation à des événements divers tels que Salons SIEP, salon de l’Education, participation aux journées portes-ouvertes de leur établissement, démarchage auprès des écoles et organisation de visite des centres, etc.</w:t>
      </w:r>
    </w:p>
    <w:p>
      <w:pPr>
        <w:spacing w:after="120"/>
        <w:jc w:val="both"/>
        <w:rPr>
          <w:rFonts w:ascii="Calibri" w:hAnsi="Calibri" w:cs="Calibri"/>
          <w:sz w:val="20"/>
          <w:szCs w:val="20"/>
        </w:rPr>
      </w:pPr>
      <w:r>
        <w:rPr>
          <w:rFonts w:ascii="Calibri" w:hAnsi="Calibri" w:cs="Calibri"/>
          <w:sz w:val="20"/>
          <w:szCs w:val="20"/>
        </w:rPr>
        <w:t>Les CTA feront part à l’administration, lors de la transmission de leur rapport d’activités, des démarches entreprises en ce sens au cours de l’année écoulée.</w:t>
      </w:r>
    </w:p>
    <w:p>
      <w:pPr>
        <w:spacing w:after="120"/>
        <w:jc w:val="both"/>
        <w:rPr>
          <w:rFonts w:ascii="Calibri" w:hAnsi="Calibri" w:cs="Calibri"/>
          <w:sz w:val="20"/>
          <w:szCs w:val="20"/>
        </w:rPr>
      </w:pPr>
      <w:r>
        <w:rPr>
          <w:rFonts w:ascii="Calibri" w:hAnsi="Calibri" w:cs="Calibri"/>
          <w:sz w:val="20"/>
          <w:szCs w:val="20"/>
        </w:rPr>
        <w:t>En tant que coordinateur du réseau, la Fédération Wallonie-Bruxelles souhaite également intensifier la communication effectuée autour des CTA. Pour ce faire, plusieurs actions ont déjà été entreprises en ce sens :</w:t>
      </w:r>
    </w:p>
    <w:p>
      <w:pPr>
        <w:numPr>
          <w:ilvl w:val="0"/>
          <w:numId w:val="5"/>
        </w:numPr>
        <w:tabs>
          <w:tab w:val="num" w:pos="1080"/>
        </w:tabs>
        <w:spacing w:after="120"/>
        <w:jc w:val="both"/>
        <w:rPr>
          <w:rFonts w:ascii="Calibri" w:hAnsi="Calibri" w:cs="Calibri"/>
          <w:sz w:val="20"/>
          <w:szCs w:val="20"/>
        </w:rPr>
      </w:pPr>
      <w:r>
        <w:rPr>
          <w:rFonts w:ascii="Calibri" w:hAnsi="Calibri" w:cs="Calibri"/>
          <w:sz w:val="20"/>
          <w:szCs w:val="20"/>
        </w:rPr>
        <w:t>élaboration d’une page Internet sur le site enseignement.be consacrée au CTA</w:t>
      </w:r>
    </w:p>
    <w:p>
      <w:pPr>
        <w:numPr>
          <w:ilvl w:val="0"/>
          <w:numId w:val="5"/>
        </w:numPr>
        <w:tabs>
          <w:tab w:val="num" w:pos="1080"/>
        </w:tabs>
        <w:spacing w:after="120"/>
        <w:jc w:val="both"/>
        <w:rPr>
          <w:rFonts w:ascii="Calibri" w:hAnsi="Calibri" w:cs="Calibri"/>
          <w:sz w:val="20"/>
          <w:szCs w:val="20"/>
        </w:rPr>
      </w:pPr>
      <w:r>
        <w:rPr>
          <w:rFonts w:ascii="Calibri" w:hAnsi="Calibri" w:cs="Calibri"/>
          <w:sz w:val="20"/>
          <w:szCs w:val="20"/>
        </w:rPr>
        <w:t>création d’une adresse mail institutionnelle pour chaque CTA en vue de renforcer l’unicité du réseau</w:t>
      </w:r>
    </w:p>
    <w:p>
      <w:pPr>
        <w:numPr>
          <w:ilvl w:val="0"/>
          <w:numId w:val="5"/>
        </w:numPr>
        <w:tabs>
          <w:tab w:val="num" w:pos="1080"/>
        </w:tabs>
        <w:spacing w:after="120"/>
        <w:jc w:val="both"/>
        <w:rPr>
          <w:rFonts w:ascii="Calibri" w:hAnsi="Calibri" w:cs="Calibri"/>
          <w:sz w:val="20"/>
          <w:szCs w:val="20"/>
        </w:rPr>
      </w:pPr>
      <w:r>
        <w:rPr>
          <w:rFonts w:ascii="Calibri" w:hAnsi="Calibri" w:cs="Calibri"/>
          <w:sz w:val="20"/>
          <w:szCs w:val="20"/>
        </w:rPr>
        <w:t>engagement d’un chargé de communication au sein de l’administration pour le développement de projets liés à la refondation de l’enseignement qualifiant</w:t>
      </w:r>
    </w:p>
    <w:p>
      <w:pPr>
        <w:numPr>
          <w:ilvl w:val="0"/>
          <w:numId w:val="5"/>
        </w:numPr>
        <w:tabs>
          <w:tab w:val="num" w:pos="1080"/>
        </w:tabs>
        <w:spacing w:after="120"/>
        <w:jc w:val="both"/>
        <w:rPr>
          <w:rFonts w:ascii="Calibri" w:hAnsi="Calibri" w:cs="Calibri"/>
          <w:sz w:val="20"/>
          <w:szCs w:val="20"/>
        </w:rPr>
      </w:pPr>
      <w:r>
        <w:rPr>
          <w:rFonts w:ascii="Calibri" w:hAnsi="Calibri" w:cs="Calibri"/>
          <w:sz w:val="20"/>
          <w:szCs w:val="20"/>
        </w:rPr>
        <w:t>réalisation d’une série de brochures de présentation des CTA par secteur et par province</w:t>
      </w:r>
    </w:p>
    <w:p>
      <w:pPr>
        <w:numPr>
          <w:ilvl w:val="0"/>
          <w:numId w:val="5"/>
        </w:numPr>
        <w:tabs>
          <w:tab w:val="num" w:pos="1080"/>
        </w:tabs>
        <w:spacing w:after="120"/>
        <w:jc w:val="both"/>
        <w:rPr>
          <w:rFonts w:ascii="Calibri" w:hAnsi="Calibri" w:cs="Calibri"/>
          <w:sz w:val="20"/>
          <w:szCs w:val="20"/>
        </w:rPr>
      </w:pPr>
      <w:r>
        <w:rPr>
          <w:rFonts w:ascii="Calibri" w:hAnsi="Calibri" w:cs="Calibri"/>
          <w:sz w:val="20"/>
          <w:szCs w:val="20"/>
        </w:rPr>
        <w:t>réalisation d’une série de roll-up à disposition des CTA en vue d’offrir un renfort de communication visuelle lors de leur participation à diverses manifestions</w:t>
      </w:r>
    </w:p>
    <w:p>
      <w:pPr>
        <w:spacing w:after="120"/>
        <w:jc w:val="both"/>
        <w:rPr>
          <w:rFonts w:ascii="Calibri" w:hAnsi="Calibri" w:cs="Calibri"/>
          <w:sz w:val="20"/>
          <w:szCs w:val="20"/>
        </w:rPr>
      </w:pPr>
      <w:r>
        <w:rPr>
          <w:rFonts w:ascii="Calibri" w:hAnsi="Calibri" w:cs="Calibri"/>
          <w:sz w:val="20"/>
          <w:szCs w:val="20"/>
        </w:rPr>
        <w:t>D’autres projets sont actuellement en cours de réalisation : catalogue de présentation du réseau, mise à disposition d’un logo unique CTA, élaboration d’un site Internet dont une section sera exclusivement réservée aux CTA.</w:t>
      </w:r>
    </w:p>
    <w:p>
      <w:pPr>
        <w:numPr>
          <w:ilvl w:val="1"/>
          <w:numId w:val="57"/>
        </w:numPr>
        <w:spacing w:before="240" w:after="240"/>
        <w:ind w:left="567" w:hanging="567"/>
        <w:jc w:val="both"/>
        <w:rPr>
          <w:rFonts w:ascii="Calibri" w:hAnsi="Calibri" w:cs="Calibri"/>
          <w:b/>
          <w:smallCaps/>
          <w:sz w:val="32"/>
          <w:szCs w:val="32"/>
        </w:rPr>
      </w:pPr>
      <w:r>
        <w:rPr>
          <w:rFonts w:ascii="Calibri" w:hAnsi="Calibri" w:cs="Calibri"/>
          <w:b/>
          <w:smallCaps/>
          <w:sz w:val="32"/>
          <w:szCs w:val="32"/>
        </w:rPr>
        <w:t>Mise à disposition du matériel de communication</w:t>
      </w:r>
    </w:p>
    <w:p>
      <w:pPr>
        <w:spacing w:after="120"/>
        <w:jc w:val="both"/>
        <w:rPr>
          <w:rFonts w:ascii="Calibri" w:hAnsi="Calibri" w:cs="Calibri"/>
          <w:sz w:val="20"/>
          <w:szCs w:val="20"/>
        </w:rPr>
      </w:pPr>
      <w:r>
        <w:rPr>
          <w:rFonts w:ascii="Calibri" w:hAnsi="Calibri" w:cs="Calibri"/>
          <w:sz w:val="20"/>
          <w:szCs w:val="20"/>
        </w:rPr>
        <w:t>Comme expliqué au point précédent, la Fédération Wallonie-Bruxelles a réalisé plusieurs outils de communication, à savoir des brochures de présentation des CTA par secteur et par province et des roll-up.</w:t>
      </w:r>
    </w:p>
    <w:p>
      <w:pPr>
        <w:spacing w:after="120"/>
        <w:jc w:val="both"/>
        <w:rPr>
          <w:rFonts w:ascii="Calibri" w:hAnsi="Calibri" w:cs="Calibri"/>
          <w:sz w:val="20"/>
          <w:szCs w:val="20"/>
        </w:rPr>
      </w:pPr>
      <w:r>
        <w:rPr>
          <w:rFonts w:ascii="Calibri" w:hAnsi="Calibri" w:cs="Calibri"/>
          <w:sz w:val="20"/>
          <w:szCs w:val="20"/>
        </w:rPr>
        <w:t>L’ensemble de ce matériel est mis à disposition des CTA et est disponible auprès de l’administration sur simple demande.</w:t>
      </w:r>
    </w:p>
    <w:p>
      <w:pPr>
        <w:rPr>
          <w:rFonts w:ascii="Calibri" w:hAnsi="Calibri" w:cs="Calibri"/>
          <w:b/>
          <w:smallCaps/>
          <w:sz w:val="32"/>
          <w:szCs w:val="32"/>
        </w:rPr>
      </w:pPr>
      <w:r>
        <w:rPr>
          <w:rFonts w:ascii="Calibri" w:hAnsi="Calibri" w:cs="Calibri"/>
          <w:b/>
          <w:smallCaps/>
          <w:sz w:val="32"/>
          <w:szCs w:val="32"/>
        </w:rPr>
        <w:br w:type="page"/>
      </w:r>
    </w:p>
    <w:p>
      <w:pPr>
        <w:numPr>
          <w:ilvl w:val="1"/>
          <w:numId w:val="57"/>
        </w:numPr>
        <w:spacing w:before="240" w:after="240"/>
        <w:ind w:left="567" w:hanging="567"/>
        <w:jc w:val="both"/>
        <w:rPr>
          <w:rFonts w:ascii="Calibri" w:hAnsi="Calibri" w:cs="Calibri"/>
          <w:b/>
          <w:smallCaps/>
          <w:sz w:val="32"/>
          <w:szCs w:val="32"/>
        </w:rPr>
      </w:pPr>
      <w:r>
        <w:rPr>
          <w:rFonts w:ascii="Calibri" w:hAnsi="Calibri" w:cs="Calibri"/>
          <w:b/>
          <w:smallCaps/>
          <w:sz w:val="32"/>
          <w:szCs w:val="32"/>
        </w:rPr>
        <w:lastRenderedPageBreak/>
        <w:t>Cofinancement européen</w:t>
      </w:r>
    </w:p>
    <w:p>
      <w:pPr>
        <w:spacing w:after="120"/>
        <w:jc w:val="both"/>
        <w:rPr>
          <w:rFonts w:ascii="Calibri" w:hAnsi="Calibri" w:cs="Calibri"/>
          <w:sz w:val="20"/>
          <w:szCs w:val="20"/>
        </w:rPr>
      </w:pPr>
      <w:r>
        <w:rPr>
          <w:rFonts w:ascii="Calibri" w:hAnsi="Calibri" w:cs="Calibri"/>
          <w:sz w:val="20"/>
          <w:szCs w:val="20"/>
        </w:rPr>
        <w:t>Tous les bénéficiaires des fonds structurels européens (FEDER et FSE) s’engagent, dans le cadre de ce financement, à donner une visibilité suffisante à leurs réalisations afin de démontrer leur impact et à informer les utilisateurs que chaque projet a bénéficié d’une intervention financière de l’Union européenne et des pouvoirs publics. A cet égard, il convient de respecter une série d’obligations en matière d’information à communiquer aux bénéficiaires finaux des équipements acquis.</w:t>
      </w:r>
    </w:p>
    <w:p>
      <w:pPr>
        <w:spacing w:after="120"/>
        <w:jc w:val="both"/>
        <w:rPr>
          <w:rFonts w:ascii="Calibri" w:hAnsi="Calibri" w:cs="Calibri"/>
          <w:sz w:val="20"/>
          <w:szCs w:val="20"/>
        </w:rPr>
      </w:pPr>
      <w:r>
        <w:rPr>
          <w:rFonts w:ascii="Calibri" w:hAnsi="Calibri" w:cs="Calibri"/>
          <w:sz w:val="20"/>
          <w:szCs w:val="20"/>
        </w:rPr>
        <w:t>En CTA, tous les formateurs et tous les formés doivent être informés que l’Union européenne intervient dans leur formation (par le FSE et par le FEDER). Il est de la responsabilité des centres de s’en assurer.</w:t>
      </w:r>
    </w:p>
    <w:p>
      <w:pPr>
        <w:pStyle w:val="Default"/>
        <w:spacing w:after="120"/>
        <w:jc w:val="both"/>
        <w:rPr>
          <w:rFonts w:ascii="Calibri" w:hAnsi="Calibri" w:cs="Calibri"/>
          <w:bCs/>
          <w:sz w:val="20"/>
          <w:szCs w:val="20"/>
        </w:rPr>
      </w:pPr>
      <w:r>
        <w:rPr>
          <w:rFonts w:ascii="Calibri" w:hAnsi="Calibri" w:cs="Calibri"/>
          <w:bCs/>
          <w:sz w:val="20"/>
          <w:szCs w:val="20"/>
        </w:rPr>
        <w:t xml:space="preserve">En acceptant un financement, les bénéficiaires acceptent également que les informations relatives à leur(s) projet(s) soient reprises dans la liste des bénéficiaires qui sera publiée par voie électronique et régulièrement mise à jour. </w:t>
      </w:r>
    </w:p>
    <w:p>
      <w:pPr>
        <w:spacing w:after="120"/>
        <w:jc w:val="both"/>
        <w:rPr>
          <w:rFonts w:ascii="Calibri" w:hAnsi="Calibri" w:cs="Calibri"/>
          <w:sz w:val="20"/>
          <w:szCs w:val="20"/>
        </w:rPr>
      </w:pPr>
      <w:r>
        <w:rPr>
          <w:rFonts w:ascii="Calibri" w:hAnsi="Calibri" w:cs="Calibri"/>
          <w:sz w:val="20"/>
          <w:szCs w:val="20"/>
        </w:rPr>
        <w:t xml:space="preserve">Le non-respect des obligations de communication pourrait entrainer l’inéligibilité des dépenses liées à l’événement ou à la production du matériel de communication, ou la </w:t>
      </w:r>
      <w:r>
        <w:rPr>
          <w:rFonts w:ascii="Calibri" w:hAnsi="Calibri" w:cs="Calibri"/>
          <w:b/>
          <w:sz w:val="20"/>
          <w:szCs w:val="20"/>
        </w:rPr>
        <w:t>sanction financière d’une partie du subside octroyé dans le cadre du projet</w:t>
      </w:r>
      <w:r>
        <w:rPr>
          <w:rFonts w:ascii="Calibri" w:hAnsi="Calibri" w:cs="Calibri"/>
          <w:sz w:val="20"/>
          <w:szCs w:val="20"/>
        </w:rPr>
        <w:t>.</w:t>
      </w:r>
    </w:p>
    <w:p>
      <w:pPr>
        <w:spacing w:after="120"/>
        <w:jc w:val="both"/>
        <w:rPr>
          <w:rFonts w:ascii="Calibri" w:hAnsi="Calibri" w:cs="Calibri"/>
          <w:sz w:val="20"/>
          <w:szCs w:val="20"/>
        </w:rPr>
      </w:pPr>
      <w:r>
        <w:rPr>
          <w:rFonts w:ascii="Calibri" w:hAnsi="Calibri" w:cs="Calibri"/>
          <w:sz w:val="20"/>
          <w:szCs w:val="20"/>
        </w:rPr>
        <w:t>Dans ce cadre, des mentions indispensables doivent figurer sur tous les documents, publicités et autres moyens de communication produits par les CTA. Les logos à utiliser diffèrent en fonction de la Région au sein de laquelle le CTA est implanté.</w:t>
      </w:r>
    </w:p>
    <w:p>
      <w:pPr>
        <w:numPr>
          <w:ilvl w:val="2"/>
          <w:numId w:val="57"/>
        </w:numPr>
        <w:tabs>
          <w:tab w:val="left" w:pos="993"/>
        </w:tabs>
        <w:spacing w:before="240" w:after="240"/>
        <w:ind w:left="709" w:hanging="709"/>
        <w:jc w:val="both"/>
        <w:rPr>
          <w:rFonts w:ascii="Calibri" w:hAnsi="Calibri" w:cs="Calibri"/>
          <w:b/>
          <w:sz w:val="28"/>
          <w:szCs w:val="28"/>
        </w:rPr>
      </w:pPr>
      <w:r>
        <w:rPr>
          <w:rFonts w:ascii="Calibri" w:hAnsi="Calibri" w:cs="Calibri"/>
          <w:b/>
          <w:sz w:val="28"/>
          <w:szCs w:val="28"/>
        </w:rPr>
        <w:t>En Région wallonne</w:t>
      </w:r>
    </w:p>
    <w:p>
      <w:pPr>
        <w:pStyle w:val="Paragraphedeliste"/>
        <w:numPr>
          <w:ilvl w:val="3"/>
          <w:numId w:val="57"/>
        </w:numPr>
        <w:spacing w:before="240" w:after="240"/>
        <w:ind w:left="992" w:hanging="992"/>
        <w:jc w:val="both"/>
        <w:rPr>
          <w:rFonts w:ascii="Calibri" w:hAnsi="Calibri" w:cs="Calibri"/>
          <w:i/>
          <w:u w:val="single"/>
        </w:rPr>
      </w:pPr>
      <w:r>
        <w:rPr>
          <w:rFonts w:ascii="Calibri" w:hAnsi="Calibri" w:cs="Calibri"/>
          <w:i/>
          <w:u w:val="single"/>
        </w:rPr>
        <w:t>Mentions obligatoires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6"/>
        <w:gridCol w:w="6804"/>
      </w:tblGrid>
      <w:tr>
        <w:tc>
          <w:tcPr>
            <w:tcW w:w="1245" w:type="pct"/>
            <w:vAlign w:val="center"/>
          </w:tcPr>
          <w:p>
            <w:pPr>
              <w:spacing w:after="120"/>
              <w:jc w:val="center"/>
              <w:rPr>
                <w:rFonts w:asciiTheme="minorHAnsi" w:hAnsiTheme="minorHAnsi" w:cstheme="minorHAnsi"/>
                <w:b/>
                <w:i/>
                <w:sz w:val="20"/>
                <w:szCs w:val="20"/>
              </w:rPr>
            </w:pPr>
            <w:r>
              <w:rPr>
                <w:rFonts w:asciiTheme="minorHAnsi" w:hAnsiTheme="minorHAnsi" w:cstheme="minorHAnsi"/>
                <w:b/>
                <w:i/>
                <w:sz w:val="20"/>
                <w:szCs w:val="20"/>
              </w:rPr>
              <w:t>Type d’action réalisée</w:t>
            </w:r>
          </w:p>
        </w:tc>
        <w:tc>
          <w:tcPr>
            <w:tcW w:w="3755" w:type="pct"/>
            <w:vAlign w:val="center"/>
          </w:tcPr>
          <w:p>
            <w:pPr>
              <w:spacing w:after="120"/>
              <w:jc w:val="center"/>
              <w:rPr>
                <w:rFonts w:asciiTheme="minorHAnsi" w:hAnsiTheme="minorHAnsi" w:cstheme="minorHAnsi"/>
                <w:b/>
                <w:i/>
                <w:sz w:val="20"/>
                <w:szCs w:val="20"/>
              </w:rPr>
            </w:pPr>
            <w:r>
              <w:rPr>
                <w:rFonts w:asciiTheme="minorHAnsi" w:hAnsiTheme="minorHAnsi" w:cstheme="minorHAnsi"/>
                <w:b/>
                <w:i/>
                <w:sz w:val="20"/>
                <w:szCs w:val="20"/>
              </w:rPr>
              <w:t>Obligations</w:t>
            </w:r>
          </w:p>
        </w:tc>
      </w:tr>
      <w:tr>
        <w:tc>
          <w:tcPr>
            <w:tcW w:w="1245" w:type="pct"/>
          </w:tcPr>
          <w:p>
            <w:pPr>
              <w:pStyle w:val="Default"/>
              <w:jc w:val="both"/>
              <w:rPr>
                <w:rFonts w:asciiTheme="minorHAnsi" w:hAnsiTheme="minorHAnsi" w:cstheme="minorHAnsi"/>
                <w:sz w:val="20"/>
                <w:szCs w:val="20"/>
              </w:rPr>
            </w:pPr>
            <w:r>
              <w:rPr>
                <w:rFonts w:asciiTheme="minorHAnsi" w:hAnsiTheme="minorHAnsi" w:cstheme="minorHAnsi"/>
                <w:b/>
                <w:bCs/>
                <w:sz w:val="20"/>
                <w:szCs w:val="20"/>
              </w:rPr>
              <w:t xml:space="preserve">Pour tous les types de projets </w:t>
            </w:r>
          </w:p>
          <w:p>
            <w:pPr>
              <w:jc w:val="both"/>
              <w:rPr>
                <w:rFonts w:asciiTheme="minorHAnsi" w:hAnsiTheme="minorHAnsi" w:cstheme="minorHAnsi"/>
                <w:sz w:val="20"/>
                <w:szCs w:val="20"/>
              </w:rPr>
            </w:pPr>
          </w:p>
        </w:tc>
        <w:tc>
          <w:tcPr>
            <w:tcW w:w="3755" w:type="pct"/>
          </w:tcPr>
          <w:p>
            <w:pPr>
              <w:pStyle w:val="Default"/>
              <w:jc w:val="both"/>
              <w:rPr>
                <w:rFonts w:asciiTheme="minorHAnsi" w:hAnsiTheme="minorHAnsi" w:cstheme="minorHAnsi"/>
                <w:sz w:val="20"/>
                <w:szCs w:val="20"/>
              </w:rPr>
            </w:pPr>
            <w:r>
              <w:rPr>
                <w:rFonts w:asciiTheme="minorHAnsi" w:hAnsiTheme="minorHAnsi" w:cstheme="minorHAnsi"/>
                <w:b/>
                <w:bCs/>
                <w:sz w:val="20"/>
                <w:szCs w:val="20"/>
              </w:rPr>
              <w:t>Si le bénéficiaire dispose d’un site web</w:t>
            </w:r>
            <w:r>
              <w:rPr>
                <w:rFonts w:asciiTheme="minorHAnsi" w:hAnsiTheme="minorHAnsi" w:cstheme="minorHAnsi"/>
                <w:sz w:val="20"/>
                <w:szCs w:val="20"/>
              </w:rPr>
              <w:t xml:space="preserve">, il doit informer le public du soutien obtenu en : </w:t>
            </w:r>
          </w:p>
          <w:p>
            <w:pPr>
              <w:pStyle w:val="Default"/>
              <w:numPr>
                <w:ilvl w:val="0"/>
                <w:numId w:val="46"/>
              </w:numPr>
              <w:jc w:val="both"/>
              <w:rPr>
                <w:rFonts w:asciiTheme="minorHAnsi" w:hAnsiTheme="minorHAnsi" w:cstheme="minorHAnsi"/>
                <w:sz w:val="20"/>
                <w:szCs w:val="20"/>
                <w:lang w:eastAsia="fr-FR"/>
              </w:rPr>
            </w:pPr>
            <w:r>
              <w:rPr>
                <w:rFonts w:asciiTheme="minorHAnsi" w:hAnsiTheme="minorHAnsi" w:cstheme="minorHAnsi"/>
                <w:sz w:val="20"/>
                <w:szCs w:val="20"/>
              </w:rPr>
              <w:t xml:space="preserve">plaçant en premier plan sur la page d’accueil de son site : </w:t>
            </w:r>
          </w:p>
          <w:p>
            <w:pPr>
              <w:numPr>
                <w:ilvl w:val="1"/>
                <w:numId w:val="37"/>
              </w:numPr>
              <w:autoSpaceDE w:val="0"/>
              <w:autoSpaceDN w:val="0"/>
              <w:adjustRightInd w:val="0"/>
              <w:ind w:hanging="357"/>
              <w:jc w:val="both"/>
              <w:rPr>
                <w:rFonts w:asciiTheme="minorHAnsi" w:hAnsiTheme="minorHAnsi" w:cstheme="minorHAnsi"/>
                <w:sz w:val="20"/>
                <w:szCs w:val="20"/>
              </w:rPr>
            </w:pPr>
            <w:r>
              <w:rPr>
                <w:rFonts w:asciiTheme="minorHAnsi" w:hAnsiTheme="minorHAnsi" w:cstheme="minorHAnsi"/>
                <w:sz w:val="20"/>
                <w:szCs w:val="20"/>
              </w:rPr>
              <w:t xml:space="preserve">le logo européen accompagné de la mention « Union européenne » et le logo de la Fédération Wallonie-Bruxelles; </w:t>
            </w:r>
          </w:p>
          <w:p>
            <w:pPr>
              <w:numPr>
                <w:ilvl w:val="1"/>
                <w:numId w:val="37"/>
              </w:numPr>
              <w:autoSpaceDE w:val="0"/>
              <w:autoSpaceDN w:val="0"/>
              <w:adjustRightInd w:val="0"/>
              <w:ind w:hanging="357"/>
              <w:jc w:val="both"/>
              <w:rPr>
                <w:rFonts w:asciiTheme="minorHAnsi" w:hAnsiTheme="minorHAnsi" w:cstheme="minorHAnsi"/>
                <w:sz w:val="20"/>
                <w:szCs w:val="20"/>
              </w:rPr>
            </w:pPr>
            <w:r>
              <w:rPr>
                <w:rFonts w:asciiTheme="minorHAnsi" w:hAnsiTheme="minorHAnsi" w:cstheme="minorHAnsi"/>
                <w:sz w:val="20"/>
                <w:szCs w:val="20"/>
              </w:rPr>
              <w:t>la mention : « Le Fonds européen de développement régional et la Fédération Wallonie-Bruxelles investissent dans votre avenir » ;</w:t>
            </w:r>
          </w:p>
          <w:p>
            <w:pPr>
              <w:pStyle w:val="Default"/>
              <w:numPr>
                <w:ilvl w:val="0"/>
                <w:numId w:val="46"/>
              </w:numPr>
              <w:ind w:left="714" w:hanging="357"/>
              <w:jc w:val="both"/>
              <w:rPr>
                <w:rFonts w:asciiTheme="minorHAnsi" w:hAnsiTheme="minorHAnsi" w:cstheme="minorHAnsi"/>
                <w:sz w:val="20"/>
                <w:szCs w:val="20"/>
                <w:lang w:eastAsia="fr-FR"/>
              </w:rPr>
            </w:pPr>
            <w:r>
              <w:rPr>
                <w:rFonts w:asciiTheme="minorHAnsi" w:hAnsiTheme="minorHAnsi" w:cstheme="minorHAnsi"/>
                <w:sz w:val="20"/>
                <w:szCs w:val="20"/>
              </w:rPr>
              <w:t xml:space="preserve">fournissant une description succincte du projet, de sa finalité et de ses résultats. Cette description doit mettre en lumière le soutien financier octroyé par l’Union européenne. </w:t>
            </w:r>
          </w:p>
          <w:p>
            <w:pPr>
              <w:jc w:val="both"/>
              <w:rPr>
                <w:rFonts w:asciiTheme="minorHAnsi" w:hAnsiTheme="minorHAnsi" w:cstheme="minorHAnsi"/>
                <w:sz w:val="20"/>
                <w:szCs w:val="20"/>
              </w:rPr>
            </w:pPr>
            <w:r>
              <w:rPr>
                <w:rFonts w:asciiTheme="minorHAnsi" w:hAnsiTheme="minorHAnsi" w:cstheme="minorHAnsi"/>
                <w:sz w:val="20"/>
                <w:szCs w:val="20"/>
              </w:rPr>
              <w:t>Il est aussi vivement recommandé de créer un lien vers le site Internet du Gouvernement wallon consacré aux Fonds structurels : www.enmieux.be</w:t>
            </w:r>
          </w:p>
        </w:tc>
      </w:tr>
      <w:tr>
        <w:tc>
          <w:tcPr>
            <w:tcW w:w="1245" w:type="pct"/>
          </w:tcPr>
          <w:p>
            <w:pPr>
              <w:pStyle w:val="Default"/>
              <w:jc w:val="both"/>
              <w:rPr>
                <w:rFonts w:asciiTheme="minorHAnsi" w:hAnsiTheme="minorHAnsi" w:cstheme="minorHAnsi"/>
                <w:sz w:val="20"/>
                <w:szCs w:val="20"/>
              </w:rPr>
            </w:pPr>
            <w:r>
              <w:rPr>
                <w:rFonts w:asciiTheme="minorHAnsi" w:hAnsiTheme="minorHAnsi" w:cstheme="minorHAnsi"/>
                <w:b/>
                <w:bCs/>
                <w:sz w:val="20"/>
                <w:szCs w:val="20"/>
              </w:rPr>
              <w:t xml:space="preserve">Pour tous les types de projets </w:t>
            </w:r>
            <w:r>
              <w:rPr>
                <w:rFonts w:asciiTheme="minorHAnsi" w:hAnsiTheme="minorHAnsi" w:cstheme="minorHAnsi"/>
                <w:sz w:val="20"/>
                <w:szCs w:val="20"/>
              </w:rPr>
              <w:t xml:space="preserve">autres que les travaux d’infrastructures et de construction et l’achat de matériel dont l’aide publique totale est &gt; à 500.000 € </w:t>
            </w:r>
          </w:p>
          <w:p>
            <w:pPr>
              <w:pStyle w:val="Default"/>
              <w:jc w:val="both"/>
              <w:rPr>
                <w:rFonts w:asciiTheme="minorHAnsi" w:hAnsiTheme="minorHAnsi" w:cstheme="minorHAnsi"/>
                <w:b/>
                <w:bCs/>
                <w:sz w:val="20"/>
                <w:szCs w:val="20"/>
              </w:rPr>
            </w:pPr>
          </w:p>
        </w:tc>
        <w:tc>
          <w:tcPr>
            <w:tcW w:w="3755" w:type="pct"/>
          </w:tcPr>
          <w:p>
            <w:pPr>
              <w:pStyle w:val="Default"/>
              <w:spacing w:after="120"/>
              <w:jc w:val="both"/>
              <w:rPr>
                <w:rFonts w:asciiTheme="minorHAnsi" w:hAnsiTheme="minorHAnsi" w:cstheme="minorHAnsi"/>
                <w:sz w:val="20"/>
                <w:szCs w:val="20"/>
                <w:lang w:eastAsia="fr-FR"/>
              </w:rPr>
            </w:pPr>
            <w:r>
              <w:rPr>
                <w:rFonts w:asciiTheme="minorHAnsi" w:hAnsiTheme="minorHAnsi" w:cstheme="minorHAnsi"/>
                <w:sz w:val="20"/>
                <w:szCs w:val="20"/>
              </w:rPr>
              <w:t xml:space="preserve">Pendant la mise en œuvre du projet, une </w:t>
            </w:r>
            <w:r>
              <w:rPr>
                <w:rFonts w:asciiTheme="minorHAnsi" w:hAnsiTheme="minorHAnsi" w:cstheme="minorHAnsi"/>
                <w:b/>
                <w:bCs/>
                <w:sz w:val="20"/>
                <w:szCs w:val="20"/>
              </w:rPr>
              <w:t xml:space="preserve">affiche </w:t>
            </w:r>
            <w:r>
              <w:rPr>
                <w:rFonts w:asciiTheme="minorHAnsi" w:hAnsiTheme="minorHAnsi" w:cstheme="minorHAnsi"/>
                <w:sz w:val="20"/>
                <w:szCs w:val="20"/>
              </w:rPr>
              <w:t>(dimension minimale : A3) doit être apposée dans un lieu aisément visible par le public (par exemple : l’entrée d’un bâtiment).</w:t>
            </w:r>
          </w:p>
          <w:p>
            <w:pPr>
              <w:pStyle w:val="Default"/>
              <w:jc w:val="both"/>
              <w:rPr>
                <w:rFonts w:asciiTheme="minorHAnsi" w:hAnsiTheme="minorHAnsi" w:cstheme="minorHAnsi"/>
                <w:sz w:val="20"/>
                <w:szCs w:val="20"/>
              </w:rPr>
            </w:pPr>
            <w:r>
              <w:rPr>
                <w:rFonts w:asciiTheme="minorHAnsi" w:hAnsiTheme="minorHAnsi" w:cstheme="minorHAnsi"/>
                <w:sz w:val="20"/>
                <w:szCs w:val="20"/>
              </w:rPr>
              <w:t>Cette affiche doit comporter les éléments suivants :</w:t>
            </w:r>
          </w:p>
          <w:p>
            <w:pPr>
              <w:pStyle w:val="Default"/>
              <w:numPr>
                <w:ilvl w:val="0"/>
                <w:numId w:val="47"/>
              </w:numPr>
              <w:jc w:val="both"/>
              <w:rPr>
                <w:rFonts w:asciiTheme="minorHAnsi" w:hAnsiTheme="minorHAnsi" w:cstheme="minorHAnsi"/>
                <w:sz w:val="20"/>
                <w:szCs w:val="20"/>
                <w:lang w:eastAsia="fr-FR"/>
              </w:rPr>
            </w:pPr>
            <w:r>
              <w:rPr>
                <w:rFonts w:asciiTheme="minorHAnsi" w:hAnsiTheme="minorHAnsi" w:cstheme="minorHAnsi"/>
                <w:sz w:val="20"/>
                <w:szCs w:val="20"/>
              </w:rPr>
              <w:t xml:space="preserve">le nom et le principal objectif du projet ; </w:t>
            </w:r>
          </w:p>
          <w:p>
            <w:pPr>
              <w:pStyle w:val="Default"/>
              <w:numPr>
                <w:ilvl w:val="0"/>
                <w:numId w:val="47"/>
              </w:numPr>
              <w:jc w:val="both"/>
              <w:rPr>
                <w:rFonts w:asciiTheme="minorHAnsi" w:hAnsiTheme="minorHAnsi" w:cstheme="minorHAnsi"/>
                <w:sz w:val="20"/>
                <w:szCs w:val="20"/>
                <w:lang w:eastAsia="fr-FR"/>
              </w:rPr>
            </w:pPr>
            <w:r>
              <w:rPr>
                <w:rFonts w:asciiTheme="minorHAnsi" w:hAnsiTheme="minorHAnsi" w:cstheme="minorHAnsi"/>
                <w:sz w:val="20"/>
                <w:szCs w:val="20"/>
              </w:rPr>
              <w:t xml:space="preserve">le logo européen accompagné de la mention « Union européenne » et le logo de la Fédération Wallonie-Bruxelles ; </w:t>
            </w:r>
          </w:p>
          <w:p>
            <w:pPr>
              <w:pStyle w:val="Default"/>
              <w:numPr>
                <w:ilvl w:val="0"/>
                <w:numId w:val="47"/>
              </w:numPr>
              <w:jc w:val="both"/>
              <w:rPr>
                <w:rFonts w:asciiTheme="minorHAnsi" w:hAnsiTheme="minorHAnsi" w:cstheme="minorHAnsi"/>
                <w:sz w:val="20"/>
                <w:szCs w:val="20"/>
                <w:lang w:eastAsia="fr-FR"/>
              </w:rPr>
            </w:pPr>
            <w:r>
              <w:rPr>
                <w:rFonts w:asciiTheme="minorHAnsi" w:hAnsiTheme="minorHAnsi" w:cstheme="minorHAnsi"/>
                <w:sz w:val="20"/>
                <w:szCs w:val="20"/>
              </w:rPr>
              <w:t xml:space="preserve">la mention : « Le Fonds européen de développement régional et la Fédération Wallonie-Bruxelles investissent dans votre avenir » ; </w:t>
            </w:r>
          </w:p>
          <w:p>
            <w:pPr>
              <w:pStyle w:val="Default"/>
              <w:numPr>
                <w:ilvl w:val="0"/>
                <w:numId w:val="47"/>
              </w:numPr>
              <w:jc w:val="both"/>
              <w:rPr>
                <w:rFonts w:asciiTheme="minorHAnsi" w:hAnsiTheme="minorHAnsi" w:cstheme="minorHAnsi"/>
                <w:sz w:val="20"/>
                <w:szCs w:val="20"/>
                <w:lang w:eastAsia="fr-FR"/>
              </w:rPr>
            </w:pPr>
            <w:r>
              <w:rPr>
                <w:rFonts w:asciiTheme="minorHAnsi" w:hAnsiTheme="minorHAnsi" w:cstheme="minorHAnsi"/>
                <w:sz w:val="20"/>
                <w:szCs w:val="20"/>
              </w:rPr>
              <w:t xml:space="preserve">les contributions financières respectives de l’Union européenne et de la Fédération Wallonie-Bruxelles. </w:t>
            </w:r>
          </w:p>
          <w:p>
            <w:pPr>
              <w:pStyle w:val="Default"/>
              <w:jc w:val="both"/>
              <w:rPr>
                <w:rFonts w:asciiTheme="minorHAnsi" w:hAnsiTheme="minorHAnsi" w:cstheme="minorHAnsi"/>
                <w:sz w:val="20"/>
                <w:szCs w:val="20"/>
              </w:rPr>
            </w:pPr>
          </w:p>
          <w:p>
            <w:pPr>
              <w:pStyle w:val="Default"/>
              <w:jc w:val="both"/>
              <w:rPr>
                <w:rFonts w:asciiTheme="minorHAnsi" w:hAnsiTheme="minorHAnsi" w:cstheme="minorHAnsi"/>
                <w:sz w:val="20"/>
                <w:szCs w:val="20"/>
              </w:rPr>
            </w:pPr>
            <w:r>
              <w:rPr>
                <w:rFonts w:asciiTheme="minorHAnsi" w:hAnsiTheme="minorHAnsi" w:cstheme="minorHAnsi"/>
                <w:sz w:val="20"/>
                <w:szCs w:val="20"/>
              </w:rPr>
              <w:t>Ces éléments doivent occuper au moins 25% de l’affiche.</w:t>
            </w:r>
          </w:p>
          <w:p>
            <w:pPr>
              <w:pStyle w:val="Default"/>
              <w:ind w:left="720"/>
              <w:jc w:val="both"/>
              <w:rPr>
                <w:rFonts w:asciiTheme="minorHAnsi" w:hAnsiTheme="minorHAnsi" w:cstheme="minorHAnsi"/>
                <w:b/>
                <w:bCs/>
                <w:sz w:val="20"/>
                <w:szCs w:val="20"/>
                <w:lang w:eastAsia="fr-FR"/>
              </w:rPr>
            </w:pPr>
          </w:p>
        </w:tc>
      </w:tr>
    </w:tbl>
    <w:p>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6"/>
        <w:gridCol w:w="6804"/>
      </w:tblGrid>
      <w:tr>
        <w:tc>
          <w:tcPr>
            <w:tcW w:w="1245" w:type="pct"/>
          </w:tcPr>
          <w:p>
            <w:pPr>
              <w:pStyle w:val="Default"/>
              <w:jc w:val="both"/>
              <w:rPr>
                <w:rFonts w:asciiTheme="minorHAnsi" w:hAnsiTheme="minorHAnsi" w:cstheme="minorHAnsi"/>
                <w:b/>
                <w:bCs/>
                <w:sz w:val="20"/>
                <w:szCs w:val="20"/>
              </w:rPr>
            </w:pPr>
          </w:p>
        </w:tc>
        <w:tc>
          <w:tcPr>
            <w:tcW w:w="3755" w:type="pct"/>
          </w:tcPr>
          <w:p>
            <w:pPr>
              <w:pStyle w:val="Default"/>
              <w:jc w:val="both"/>
              <w:rPr>
                <w:rFonts w:asciiTheme="minorHAnsi" w:hAnsiTheme="minorHAnsi" w:cstheme="minorHAnsi"/>
                <w:sz w:val="20"/>
                <w:szCs w:val="20"/>
              </w:rPr>
            </w:pPr>
            <w:r>
              <w:rPr>
                <w:rFonts w:asciiTheme="minorHAnsi" w:hAnsiTheme="minorHAnsi" w:cstheme="minorHAnsi"/>
                <w:sz w:val="20"/>
                <w:szCs w:val="20"/>
              </w:rPr>
              <w:t xml:space="preserve">Pour les travaux d’infrastructures et de construction dont le montant est ≤ à 500.000 € d’aide publique totale, si le Service public de Wallonie impose l’érection d’un panneau de chantier, celui-ci doit mentionner les informations suivantes : </w:t>
            </w:r>
          </w:p>
          <w:p>
            <w:pPr>
              <w:pStyle w:val="Default"/>
              <w:numPr>
                <w:ilvl w:val="0"/>
                <w:numId w:val="47"/>
              </w:numPr>
              <w:jc w:val="both"/>
              <w:rPr>
                <w:rFonts w:asciiTheme="minorHAnsi" w:hAnsiTheme="minorHAnsi" w:cstheme="minorHAnsi"/>
                <w:sz w:val="20"/>
                <w:szCs w:val="20"/>
                <w:lang w:eastAsia="fr-FR"/>
              </w:rPr>
            </w:pPr>
            <w:r>
              <w:rPr>
                <w:rFonts w:asciiTheme="minorHAnsi" w:hAnsiTheme="minorHAnsi" w:cstheme="minorHAnsi"/>
                <w:sz w:val="20"/>
                <w:szCs w:val="20"/>
              </w:rPr>
              <w:t xml:space="preserve">le nom et le principal objectif du projet ; </w:t>
            </w:r>
          </w:p>
          <w:p>
            <w:pPr>
              <w:pStyle w:val="Default"/>
              <w:numPr>
                <w:ilvl w:val="0"/>
                <w:numId w:val="47"/>
              </w:numPr>
              <w:jc w:val="both"/>
              <w:rPr>
                <w:rFonts w:asciiTheme="minorHAnsi" w:hAnsiTheme="minorHAnsi" w:cstheme="minorHAnsi"/>
                <w:b/>
                <w:bCs/>
                <w:sz w:val="20"/>
                <w:szCs w:val="20"/>
                <w:lang w:eastAsia="fr-FR"/>
              </w:rPr>
            </w:pPr>
            <w:r>
              <w:rPr>
                <w:rFonts w:asciiTheme="minorHAnsi" w:hAnsiTheme="minorHAnsi" w:cstheme="minorHAnsi"/>
                <w:sz w:val="20"/>
                <w:szCs w:val="20"/>
              </w:rPr>
              <w:t>le logo européen accompagné de la mention « Union européenne » et le logo de la Fédération Wallonie-Bruxelles ;</w:t>
            </w:r>
          </w:p>
          <w:p>
            <w:pPr>
              <w:pStyle w:val="Default"/>
              <w:spacing w:after="120"/>
              <w:jc w:val="both"/>
              <w:rPr>
                <w:rFonts w:asciiTheme="minorHAnsi" w:hAnsiTheme="minorHAnsi" w:cstheme="minorHAnsi"/>
                <w:sz w:val="20"/>
                <w:szCs w:val="20"/>
              </w:rPr>
            </w:pPr>
            <w:r>
              <w:rPr>
                <w:rFonts w:asciiTheme="minorHAnsi" w:hAnsiTheme="minorHAnsi" w:cstheme="minorHAnsi"/>
                <w:sz w:val="20"/>
                <w:szCs w:val="20"/>
              </w:rPr>
              <w:t>la mention : « Le Fonds européen de développement régional et la Fédération Wallonie-Bruxelles investissent dans votre avenir ».</w:t>
            </w:r>
          </w:p>
        </w:tc>
      </w:tr>
      <w:tr>
        <w:tc>
          <w:tcPr>
            <w:tcW w:w="1245" w:type="pct"/>
          </w:tcPr>
          <w:p>
            <w:pPr>
              <w:jc w:val="both"/>
              <w:rPr>
                <w:rFonts w:asciiTheme="minorHAnsi" w:hAnsiTheme="minorHAnsi" w:cstheme="minorHAnsi"/>
                <w:sz w:val="20"/>
                <w:szCs w:val="20"/>
              </w:rPr>
            </w:pPr>
            <w:r>
              <w:rPr>
                <w:rFonts w:asciiTheme="minorHAnsi" w:hAnsiTheme="minorHAnsi" w:cstheme="minorHAnsi"/>
                <w:sz w:val="20"/>
                <w:szCs w:val="20"/>
              </w:rPr>
              <w:t>Publications</w:t>
            </w:r>
          </w:p>
          <w:p>
            <w:pPr>
              <w:jc w:val="both"/>
              <w:rPr>
                <w:rFonts w:asciiTheme="minorHAnsi" w:hAnsiTheme="minorHAnsi" w:cstheme="minorHAnsi"/>
                <w:sz w:val="20"/>
                <w:szCs w:val="20"/>
              </w:rPr>
            </w:pPr>
            <w:r>
              <w:rPr>
                <w:rFonts w:asciiTheme="minorHAnsi" w:hAnsiTheme="minorHAnsi" w:cstheme="minorHAnsi"/>
                <w:sz w:val="20"/>
                <w:szCs w:val="20"/>
              </w:rPr>
              <w:t>(brochures,</w:t>
            </w:r>
          </w:p>
          <w:p>
            <w:pPr>
              <w:jc w:val="both"/>
              <w:rPr>
                <w:rFonts w:asciiTheme="minorHAnsi" w:hAnsiTheme="minorHAnsi" w:cstheme="minorHAnsi"/>
                <w:sz w:val="20"/>
                <w:szCs w:val="20"/>
              </w:rPr>
            </w:pPr>
            <w:r>
              <w:rPr>
                <w:rFonts w:asciiTheme="minorHAnsi" w:hAnsiTheme="minorHAnsi" w:cstheme="minorHAnsi"/>
                <w:sz w:val="20"/>
                <w:szCs w:val="20"/>
              </w:rPr>
              <w:t>dépliants, lettres</w:t>
            </w:r>
          </w:p>
          <w:p>
            <w:pPr>
              <w:jc w:val="both"/>
              <w:rPr>
                <w:rFonts w:asciiTheme="minorHAnsi" w:hAnsiTheme="minorHAnsi" w:cstheme="minorHAnsi"/>
                <w:sz w:val="20"/>
                <w:szCs w:val="20"/>
              </w:rPr>
            </w:pPr>
            <w:r>
              <w:rPr>
                <w:rFonts w:asciiTheme="minorHAnsi" w:hAnsiTheme="minorHAnsi" w:cstheme="minorHAnsi"/>
                <w:sz w:val="20"/>
                <w:szCs w:val="20"/>
              </w:rPr>
              <w:t>d’information,</w:t>
            </w:r>
          </w:p>
          <w:p>
            <w:pPr>
              <w:jc w:val="both"/>
              <w:rPr>
                <w:rFonts w:asciiTheme="minorHAnsi" w:hAnsiTheme="minorHAnsi" w:cstheme="minorHAnsi"/>
                <w:sz w:val="20"/>
                <w:szCs w:val="20"/>
              </w:rPr>
            </w:pPr>
            <w:r>
              <w:rPr>
                <w:rFonts w:asciiTheme="minorHAnsi" w:hAnsiTheme="minorHAnsi" w:cstheme="minorHAnsi"/>
                <w:sz w:val="20"/>
                <w:szCs w:val="20"/>
              </w:rPr>
              <w:t>affiches…)</w:t>
            </w:r>
          </w:p>
        </w:tc>
        <w:tc>
          <w:tcPr>
            <w:tcW w:w="3755" w:type="pct"/>
          </w:tcPr>
          <w:p>
            <w:pPr>
              <w:jc w:val="both"/>
              <w:rPr>
                <w:rFonts w:asciiTheme="minorHAnsi" w:hAnsiTheme="minorHAnsi" w:cstheme="minorHAnsi"/>
                <w:sz w:val="20"/>
                <w:szCs w:val="20"/>
              </w:rPr>
            </w:pPr>
            <w:r>
              <w:rPr>
                <w:rFonts w:asciiTheme="minorHAnsi" w:hAnsiTheme="minorHAnsi" w:cstheme="minorHAnsi"/>
                <w:sz w:val="20"/>
                <w:szCs w:val="20"/>
              </w:rPr>
              <w:t>Les publications doivent comporter de préférence sur la page de garde :</w:t>
            </w:r>
          </w:p>
          <w:p>
            <w:pPr>
              <w:pStyle w:val="Default"/>
              <w:numPr>
                <w:ilvl w:val="0"/>
                <w:numId w:val="46"/>
              </w:numPr>
              <w:jc w:val="both"/>
              <w:rPr>
                <w:rFonts w:asciiTheme="minorHAnsi" w:hAnsiTheme="minorHAnsi" w:cstheme="minorHAnsi"/>
                <w:sz w:val="20"/>
                <w:szCs w:val="20"/>
                <w:lang w:eastAsia="fr-FR"/>
              </w:rPr>
            </w:pPr>
            <w:r>
              <w:rPr>
                <w:rFonts w:asciiTheme="minorHAnsi" w:hAnsiTheme="minorHAnsi" w:cstheme="minorHAnsi"/>
                <w:sz w:val="20"/>
                <w:szCs w:val="20"/>
              </w:rPr>
              <w:t xml:space="preserve">le logo européen accompagné de la mention « Union européenne » et le logo de la Fédération Wallonie-Bruxelles) ; </w:t>
            </w:r>
          </w:p>
          <w:p>
            <w:pPr>
              <w:numPr>
                <w:ilvl w:val="0"/>
                <w:numId w:val="8"/>
              </w:numPr>
              <w:jc w:val="both"/>
              <w:rPr>
                <w:rFonts w:asciiTheme="minorHAnsi" w:hAnsiTheme="minorHAnsi" w:cstheme="minorHAnsi"/>
                <w:sz w:val="20"/>
                <w:szCs w:val="20"/>
              </w:rPr>
            </w:pPr>
            <w:r>
              <w:rPr>
                <w:rFonts w:asciiTheme="minorHAnsi" w:hAnsiTheme="minorHAnsi" w:cstheme="minorHAnsi"/>
                <w:sz w:val="20"/>
                <w:szCs w:val="20"/>
              </w:rPr>
              <w:t>la mention : « Le Fonds européen de développement régional et la Fédération Wallonie-Bruxelles investissent dans votre avenir ».</w:t>
            </w:r>
            <w:r>
              <w:rPr>
                <w:rFonts w:asciiTheme="minorHAnsi" w:hAnsiTheme="minorHAnsi" w:cstheme="minorHAnsi"/>
                <w:sz w:val="20"/>
                <w:szCs w:val="20"/>
              </w:rPr>
              <w:tab/>
            </w:r>
          </w:p>
        </w:tc>
      </w:tr>
      <w:tr>
        <w:tc>
          <w:tcPr>
            <w:tcW w:w="1245" w:type="pct"/>
          </w:tcPr>
          <w:p>
            <w:pPr>
              <w:jc w:val="both"/>
              <w:rPr>
                <w:rFonts w:asciiTheme="minorHAnsi" w:hAnsiTheme="minorHAnsi" w:cstheme="minorHAnsi"/>
                <w:sz w:val="20"/>
                <w:szCs w:val="20"/>
              </w:rPr>
            </w:pPr>
            <w:r>
              <w:rPr>
                <w:rFonts w:asciiTheme="minorHAnsi" w:hAnsiTheme="minorHAnsi" w:cstheme="minorHAnsi"/>
                <w:sz w:val="20"/>
                <w:szCs w:val="20"/>
              </w:rPr>
              <w:t>Petits objets</w:t>
            </w:r>
          </w:p>
          <w:p>
            <w:pPr>
              <w:jc w:val="both"/>
              <w:rPr>
                <w:rFonts w:asciiTheme="minorHAnsi" w:hAnsiTheme="minorHAnsi" w:cstheme="minorHAnsi"/>
                <w:sz w:val="20"/>
                <w:szCs w:val="20"/>
              </w:rPr>
            </w:pPr>
            <w:r>
              <w:rPr>
                <w:rFonts w:asciiTheme="minorHAnsi" w:hAnsiTheme="minorHAnsi" w:cstheme="minorHAnsi"/>
                <w:sz w:val="20"/>
                <w:szCs w:val="20"/>
              </w:rPr>
              <w:t>promotionnels</w:t>
            </w:r>
          </w:p>
          <w:p>
            <w:pPr>
              <w:jc w:val="both"/>
              <w:rPr>
                <w:rFonts w:asciiTheme="minorHAnsi" w:hAnsiTheme="minorHAnsi" w:cstheme="minorHAnsi"/>
                <w:sz w:val="20"/>
                <w:szCs w:val="20"/>
              </w:rPr>
            </w:pPr>
            <w:r>
              <w:rPr>
                <w:rFonts w:asciiTheme="minorHAnsi" w:hAnsiTheme="minorHAnsi" w:cstheme="minorHAnsi"/>
                <w:sz w:val="20"/>
                <w:szCs w:val="20"/>
              </w:rPr>
              <w:t>(bics, blocs-notes…)</w:t>
            </w:r>
          </w:p>
        </w:tc>
        <w:tc>
          <w:tcPr>
            <w:tcW w:w="3755" w:type="pct"/>
          </w:tcPr>
          <w:p>
            <w:pPr>
              <w:jc w:val="both"/>
              <w:rPr>
                <w:rFonts w:asciiTheme="minorHAnsi" w:hAnsiTheme="minorHAnsi" w:cstheme="minorHAnsi"/>
                <w:sz w:val="20"/>
                <w:szCs w:val="20"/>
              </w:rPr>
            </w:pPr>
            <w:r>
              <w:rPr>
                <w:rFonts w:asciiTheme="minorHAnsi" w:hAnsiTheme="minorHAnsi" w:cstheme="minorHAnsi"/>
                <w:sz w:val="20"/>
                <w:szCs w:val="20"/>
              </w:rPr>
              <w:t>Apposer le logo européen accompagné de la mention « Union européenne » et le logo de la Fédération Wallonie-Bruxelles).</w:t>
            </w:r>
          </w:p>
        </w:tc>
      </w:tr>
      <w:tr>
        <w:tc>
          <w:tcPr>
            <w:tcW w:w="1245" w:type="pct"/>
          </w:tcPr>
          <w:p>
            <w:pPr>
              <w:jc w:val="both"/>
              <w:rPr>
                <w:rFonts w:ascii="Calibri" w:hAnsi="Calibri" w:cs="Calibri"/>
                <w:sz w:val="20"/>
                <w:szCs w:val="20"/>
              </w:rPr>
            </w:pPr>
            <w:r>
              <w:rPr>
                <w:rFonts w:ascii="Calibri" w:hAnsi="Calibri" w:cs="Calibri"/>
                <w:sz w:val="20"/>
                <w:szCs w:val="20"/>
              </w:rPr>
              <w:t>Manifestations</w:t>
            </w:r>
          </w:p>
          <w:p>
            <w:pPr>
              <w:jc w:val="both"/>
              <w:rPr>
                <w:rFonts w:ascii="Calibri" w:hAnsi="Calibri" w:cs="Calibri"/>
                <w:sz w:val="20"/>
                <w:szCs w:val="20"/>
              </w:rPr>
            </w:pPr>
            <w:r>
              <w:rPr>
                <w:rFonts w:ascii="Calibri" w:hAnsi="Calibri" w:cs="Calibri"/>
                <w:sz w:val="20"/>
                <w:szCs w:val="20"/>
              </w:rPr>
              <w:t>(organisation de</w:t>
            </w:r>
          </w:p>
          <w:p>
            <w:pPr>
              <w:jc w:val="both"/>
              <w:rPr>
                <w:rFonts w:ascii="Calibri" w:hAnsi="Calibri" w:cs="Calibri"/>
                <w:sz w:val="20"/>
                <w:szCs w:val="20"/>
              </w:rPr>
            </w:pPr>
            <w:r>
              <w:rPr>
                <w:rFonts w:ascii="Calibri" w:hAnsi="Calibri" w:cs="Calibri"/>
                <w:sz w:val="20"/>
                <w:szCs w:val="20"/>
              </w:rPr>
              <w:t>colloques, conférences, séminaires…)</w:t>
            </w:r>
          </w:p>
        </w:tc>
        <w:tc>
          <w:tcPr>
            <w:tcW w:w="3755" w:type="pct"/>
          </w:tcPr>
          <w:p>
            <w:pPr>
              <w:pStyle w:val="Default"/>
              <w:jc w:val="both"/>
              <w:rPr>
                <w:rFonts w:ascii="Calibri" w:hAnsi="Calibri" w:cs="Calibri"/>
                <w:sz w:val="20"/>
                <w:szCs w:val="20"/>
              </w:rPr>
            </w:pPr>
            <w:r>
              <w:rPr>
                <w:rFonts w:ascii="Calibri" w:hAnsi="Calibri" w:cs="Calibri"/>
                <w:sz w:val="20"/>
                <w:szCs w:val="20"/>
              </w:rPr>
              <w:t>L’ensemble des documents distribués ainsi que les éventuels communiqués de presse doivent répondre aux obligations liées aux publications (logo européen accompagné de la mention « Union européenne » et le logo de la Fédération Wallonie-Bruxelles) ainsi que la mention : « Le Fonds européen de développement régional et la Fédération Wallonie-Bruxelles investissent dans votre avenir.)</w:t>
            </w:r>
          </w:p>
        </w:tc>
      </w:tr>
      <w:tr>
        <w:tc>
          <w:tcPr>
            <w:tcW w:w="1245" w:type="pct"/>
          </w:tcPr>
          <w:p>
            <w:pPr>
              <w:jc w:val="both"/>
              <w:rPr>
                <w:rFonts w:ascii="Calibri" w:hAnsi="Calibri" w:cs="Calibri"/>
                <w:sz w:val="20"/>
                <w:szCs w:val="20"/>
              </w:rPr>
            </w:pPr>
            <w:r>
              <w:rPr>
                <w:rFonts w:ascii="Calibri" w:hAnsi="Calibri" w:cs="Calibri"/>
                <w:sz w:val="20"/>
                <w:szCs w:val="20"/>
              </w:rPr>
              <w:t>Tout équipement</w:t>
            </w:r>
          </w:p>
          <w:p>
            <w:pPr>
              <w:jc w:val="both"/>
              <w:rPr>
                <w:rFonts w:ascii="Calibri" w:hAnsi="Calibri" w:cs="Calibri"/>
                <w:sz w:val="20"/>
                <w:szCs w:val="20"/>
              </w:rPr>
            </w:pPr>
            <w:r>
              <w:rPr>
                <w:rFonts w:ascii="Calibri" w:hAnsi="Calibri" w:cs="Calibri"/>
                <w:sz w:val="20"/>
                <w:szCs w:val="20"/>
              </w:rPr>
              <w:t>(ordinateurs,</w:t>
            </w:r>
          </w:p>
          <w:p>
            <w:pPr>
              <w:jc w:val="both"/>
              <w:rPr>
                <w:rFonts w:ascii="Calibri" w:hAnsi="Calibri" w:cs="Calibri"/>
                <w:sz w:val="20"/>
                <w:szCs w:val="20"/>
              </w:rPr>
            </w:pPr>
            <w:r>
              <w:rPr>
                <w:rFonts w:ascii="Calibri" w:hAnsi="Calibri" w:cs="Calibri"/>
                <w:sz w:val="20"/>
                <w:szCs w:val="20"/>
              </w:rPr>
              <w:t>bureaux,…)</w:t>
            </w:r>
          </w:p>
        </w:tc>
        <w:tc>
          <w:tcPr>
            <w:tcW w:w="3755" w:type="pct"/>
          </w:tcPr>
          <w:p>
            <w:pPr>
              <w:jc w:val="both"/>
              <w:rPr>
                <w:rFonts w:ascii="Calibri" w:hAnsi="Calibri" w:cs="Calibri"/>
                <w:sz w:val="20"/>
                <w:szCs w:val="20"/>
              </w:rPr>
            </w:pPr>
            <w:r>
              <w:rPr>
                <w:rFonts w:ascii="Calibri" w:hAnsi="Calibri" w:cs="Calibri"/>
                <w:sz w:val="20"/>
                <w:szCs w:val="20"/>
              </w:rPr>
              <w:t>Afin de bien les identifier, il est vivement demandé d’apposer le logo européen et de la Fédération Wallonie-Bruxelles sur tous les équipements acquis dans le cadre de l’action cofinancée par l’Union Européenne et la Fédération Wallonie-Bruxelles.</w:t>
            </w:r>
          </w:p>
        </w:tc>
      </w:tr>
    </w:tbl>
    <w:p>
      <w:pPr>
        <w:pStyle w:val="Paragraphedeliste"/>
        <w:numPr>
          <w:ilvl w:val="3"/>
          <w:numId w:val="57"/>
        </w:numPr>
        <w:spacing w:before="240" w:after="240"/>
        <w:ind w:left="992" w:hanging="992"/>
        <w:jc w:val="both"/>
        <w:rPr>
          <w:rFonts w:ascii="Calibri" w:hAnsi="Calibri" w:cs="Calibri"/>
          <w:i/>
          <w:u w:val="single"/>
        </w:rPr>
      </w:pPr>
      <w:r>
        <w:rPr>
          <w:rFonts w:ascii="Calibri" w:hAnsi="Calibri" w:cs="Calibri"/>
          <w:i/>
          <w:u w:val="single"/>
        </w:rPr>
        <w:t>Supports de communication</w:t>
      </w:r>
    </w:p>
    <w:p>
      <w:pPr>
        <w:spacing w:after="120"/>
        <w:jc w:val="both"/>
        <w:rPr>
          <w:rFonts w:ascii="Calibri" w:hAnsi="Calibri" w:cs="Calibri"/>
          <w:sz w:val="20"/>
          <w:szCs w:val="20"/>
        </w:rPr>
      </w:pPr>
      <w:r>
        <w:rPr>
          <w:rFonts w:ascii="Calibri" w:hAnsi="Calibri" w:cs="Calibri"/>
          <w:sz w:val="20"/>
          <w:szCs w:val="20"/>
        </w:rPr>
        <w:t>Le logo à utiliser est le suivant :</w:t>
      </w:r>
    </w:p>
    <w:p>
      <w:pPr>
        <w:spacing w:before="240" w:after="240"/>
        <w:jc w:val="center"/>
        <w:rPr>
          <w:rFonts w:ascii="Calibri" w:hAnsi="Calibri" w:cs="Calibri"/>
          <w:sz w:val="22"/>
          <w:szCs w:val="22"/>
        </w:rPr>
      </w:pPr>
      <w:r>
        <w:rPr>
          <w:rFonts w:ascii="Calibri" w:hAnsi="Calibri" w:cs="Calibri"/>
          <w:noProof/>
          <w:sz w:val="22"/>
          <w:szCs w:val="22"/>
          <w:lang w:eastAsia="fr-BE"/>
        </w:rPr>
        <w:drawing>
          <wp:inline distT="0" distB="0" distL="0" distR="0">
            <wp:extent cx="5759450" cy="1369695"/>
            <wp:effectExtent l="19050" t="19050" r="12700" b="2095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_FEDER_FSE+WAL+FWB.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9450" cy="1369695"/>
                    </a:xfrm>
                    <a:prstGeom prst="rect">
                      <a:avLst/>
                    </a:prstGeom>
                    <a:ln w="3175">
                      <a:solidFill>
                        <a:schemeClr val="tx1"/>
                      </a:solidFill>
                    </a:ln>
                  </pic:spPr>
                </pic:pic>
              </a:graphicData>
            </a:graphic>
          </wp:inline>
        </w:drawing>
      </w:r>
    </w:p>
    <w:p>
      <w:pPr>
        <w:spacing w:after="120"/>
        <w:jc w:val="both"/>
        <w:rPr>
          <w:rFonts w:asciiTheme="minorHAnsi" w:hAnsiTheme="minorHAnsi" w:cstheme="minorHAnsi"/>
          <w:sz w:val="20"/>
          <w:szCs w:val="20"/>
        </w:rPr>
      </w:pPr>
      <w:r>
        <w:rPr>
          <w:rFonts w:asciiTheme="minorHAnsi" w:hAnsiTheme="minorHAnsi" w:cstheme="minorHAnsi"/>
          <w:sz w:val="20"/>
          <w:szCs w:val="20"/>
        </w:rPr>
        <w:t>Il permet de renseigner l’intervention du FEDER dans l’achat des équipements, mais également celui du FSE dans l’engagement des formateurs CTA. Il est téléchargeable aux formats JPG et EPS sur le site officiel dédié par le Gouvernement wallon aux projets financés par la Région et les Fonds structurels européens via le lien suivant : www.enmieux.be.</w:t>
      </w:r>
    </w:p>
    <w:p>
      <w:pPr>
        <w:spacing w:after="120"/>
        <w:jc w:val="both"/>
        <w:rPr>
          <w:rFonts w:ascii="Calibri" w:hAnsi="Calibri" w:cs="Calibri"/>
          <w:sz w:val="20"/>
          <w:szCs w:val="20"/>
        </w:rPr>
      </w:pPr>
      <w:r>
        <w:rPr>
          <w:rFonts w:ascii="Calibri" w:hAnsi="Calibri" w:cs="Calibri"/>
          <w:sz w:val="20"/>
          <w:szCs w:val="20"/>
        </w:rPr>
        <w:t xml:space="preserve">Des autocollants et affiches sont mis à disposition des CTA par l’administration. </w:t>
      </w:r>
    </w:p>
    <w:p>
      <w:pPr>
        <w:spacing w:after="120"/>
        <w:jc w:val="both"/>
        <w:rPr>
          <w:rFonts w:ascii="Calibri" w:hAnsi="Calibri" w:cs="Calibri"/>
          <w:sz w:val="20"/>
          <w:szCs w:val="20"/>
        </w:rPr>
      </w:pPr>
      <w:r>
        <w:rPr>
          <w:rFonts w:ascii="Calibri" w:hAnsi="Calibri" w:cs="Calibri"/>
          <w:sz w:val="20"/>
          <w:szCs w:val="20"/>
        </w:rPr>
        <w:t>Si le CTA a profité d’autres sources de financement, il convient également d’apposer les logos et mentions adéquates. Les logos supplémentaires seront toujours placés à droite des logos déjà présents.</w:t>
      </w:r>
    </w:p>
    <w:p>
      <w:pPr>
        <w:pStyle w:val="Default"/>
        <w:spacing w:after="120"/>
        <w:jc w:val="both"/>
        <w:rPr>
          <w:rFonts w:ascii="Calibri" w:hAnsi="Calibri" w:cs="Calibri"/>
          <w:sz w:val="20"/>
          <w:szCs w:val="20"/>
        </w:rPr>
      </w:pPr>
      <w:r>
        <w:rPr>
          <w:rFonts w:ascii="Calibri" w:hAnsi="Calibri" w:cs="Calibri"/>
          <w:sz w:val="20"/>
          <w:szCs w:val="20"/>
        </w:rPr>
        <w:t>De façon générale :</w:t>
      </w:r>
    </w:p>
    <w:p>
      <w:pPr>
        <w:pStyle w:val="Default"/>
        <w:numPr>
          <w:ilvl w:val="0"/>
          <w:numId w:val="83"/>
        </w:numPr>
        <w:spacing w:after="120"/>
        <w:jc w:val="both"/>
        <w:rPr>
          <w:rFonts w:ascii="Calibri" w:hAnsi="Calibri" w:cs="Calibri"/>
          <w:sz w:val="20"/>
          <w:szCs w:val="20"/>
        </w:rPr>
      </w:pPr>
      <w:r>
        <w:rPr>
          <w:rFonts w:ascii="Calibri" w:hAnsi="Calibri" w:cs="Calibri"/>
          <w:sz w:val="20"/>
          <w:szCs w:val="20"/>
        </w:rPr>
        <w:t xml:space="preserve">en présence d’autres logos, le logo de l’Union européenne doit toujours avoir au moins la même taille que le plus important des autres logos </w:t>
      </w:r>
    </w:p>
    <w:p>
      <w:pPr>
        <w:pStyle w:val="Default"/>
        <w:numPr>
          <w:ilvl w:val="0"/>
          <w:numId w:val="83"/>
        </w:numPr>
        <w:spacing w:after="120"/>
        <w:jc w:val="both"/>
        <w:rPr>
          <w:rFonts w:ascii="Calibri" w:hAnsi="Calibri" w:cs="Calibri"/>
          <w:b/>
          <w:sz w:val="28"/>
          <w:szCs w:val="28"/>
        </w:rPr>
      </w:pPr>
      <w:r>
        <w:rPr>
          <w:rFonts w:ascii="Calibri" w:hAnsi="Calibri" w:cs="Calibri"/>
          <w:sz w:val="20"/>
          <w:szCs w:val="20"/>
        </w:rPr>
        <w:t>la hauteur minimale du logo européen est fixée à 2 cm à l’exception des petits objets promotionnels pour lesquels, elle peut être ramenée à 0,5 cm au minimum</w:t>
      </w:r>
      <w:r>
        <w:rPr>
          <w:rFonts w:ascii="Calibri" w:hAnsi="Calibri" w:cs="Calibri"/>
          <w:b/>
          <w:sz w:val="28"/>
          <w:szCs w:val="28"/>
        </w:rPr>
        <w:br w:type="page"/>
      </w:r>
    </w:p>
    <w:p>
      <w:pPr>
        <w:numPr>
          <w:ilvl w:val="2"/>
          <w:numId w:val="57"/>
        </w:numPr>
        <w:tabs>
          <w:tab w:val="left" w:pos="993"/>
        </w:tabs>
        <w:spacing w:before="240" w:after="240"/>
        <w:ind w:left="709" w:hanging="709"/>
        <w:jc w:val="both"/>
        <w:rPr>
          <w:rFonts w:ascii="Calibri" w:hAnsi="Calibri" w:cs="Calibri"/>
          <w:b/>
          <w:sz w:val="28"/>
          <w:szCs w:val="28"/>
        </w:rPr>
      </w:pPr>
      <w:r>
        <w:rPr>
          <w:rFonts w:ascii="Calibri" w:hAnsi="Calibri" w:cs="Calibri"/>
          <w:b/>
          <w:sz w:val="28"/>
          <w:szCs w:val="28"/>
        </w:rPr>
        <w:lastRenderedPageBreak/>
        <w:t>En Région de Bruxelles-Capitale</w:t>
      </w:r>
    </w:p>
    <w:p>
      <w:pPr>
        <w:pStyle w:val="Paragraphedeliste"/>
        <w:numPr>
          <w:ilvl w:val="3"/>
          <w:numId w:val="57"/>
        </w:numPr>
        <w:spacing w:before="240" w:after="240"/>
        <w:ind w:left="992" w:hanging="992"/>
        <w:jc w:val="both"/>
        <w:rPr>
          <w:rFonts w:ascii="Calibri" w:hAnsi="Calibri" w:cs="Calibri"/>
          <w:i/>
          <w:u w:val="single"/>
        </w:rPr>
      </w:pPr>
      <w:r>
        <w:rPr>
          <w:rFonts w:ascii="Calibri" w:hAnsi="Calibri" w:cs="Calibri"/>
          <w:i/>
          <w:u w:val="single"/>
        </w:rPr>
        <w:t>Mentions obligatoires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6"/>
        <w:gridCol w:w="6804"/>
      </w:tblGrid>
      <w:tr>
        <w:tc>
          <w:tcPr>
            <w:tcW w:w="1245" w:type="pct"/>
            <w:vAlign w:val="center"/>
          </w:tcPr>
          <w:p>
            <w:pPr>
              <w:spacing w:after="120"/>
              <w:jc w:val="center"/>
              <w:rPr>
                <w:rFonts w:ascii="Calibri" w:hAnsi="Calibri" w:cs="Calibri"/>
                <w:b/>
                <w:i/>
                <w:sz w:val="20"/>
                <w:szCs w:val="20"/>
              </w:rPr>
            </w:pPr>
            <w:r>
              <w:rPr>
                <w:rFonts w:ascii="Calibri" w:hAnsi="Calibri" w:cs="Calibri"/>
                <w:b/>
                <w:i/>
                <w:sz w:val="20"/>
                <w:szCs w:val="20"/>
              </w:rPr>
              <w:t>Type d’action réalisée</w:t>
            </w:r>
          </w:p>
        </w:tc>
        <w:tc>
          <w:tcPr>
            <w:tcW w:w="3755" w:type="pct"/>
            <w:vAlign w:val="center"/>
          </w:tcPr>
          <w:p>
            <w:pPr>
              <w:spacing w:after="120"/>
              <w:jc w:val="center"/>
              <w:rPr>
                <w:rFonts w:ascii="Calibri" w:hAnsi="Calibri" w:cs="Calibri"/>
                <w:b/>
                <w:i/>
                <w:sz w:val="20"/>
                <w:szCs w:val="20"/>
              </w:rPr>
            </w:pPr>
            <w:r>
              <w:rPr>
                <w:rFonts w:ascii="Calibri" w:hAnsi="Calibri" w:cs="Calibri"/>
                <w:b/>
                <w:i/>
                <w:sz w:val="20"/>
                <w:szCs w:val="20"/>
              </w:rPr>
              <w:t>Obligations</w:t>
            </w:r>
          </w:p>
        </w:tc>
      </w:tr>
      <w:tr>
        <w:tc>
          <w:tcPr>
            <w:tcW w:w="1245" w:type="pct"/>
          </w:tcPr>
          <w:p>
            <w:pPr>
              <w:jc w:val="both"/>
              <w:rPr>
                <w:rFonts w:ascii="Calibri" w:hAnsi="Calibri" w:cs="Calibri"/>
                <w:sz w:val="20"/>
                <w:szCs w:val="20"/>
              </w:rPr>
            </w:pPr>
            <w:r>
              <w:rPr>
                <w:rFonts w:ascii="Calibri" w:hAnsi="Calibri" w:cs="Calibri"/>
                <w:sz w:val="20"/>
                <w:szCs w:val="20"/>
              </w:rPr>
              <w:t>Matériel d’information et de communication (format papier,</w:t>
            </w:r>
          </w:p>
          <w:p>
            <w:pPr>
              <w:jc w:val="both"/>
              <w:rPr>
                <w:rFonts w:ascii="Calibri" w:hAnsi="Calibri" w:cs="Calibri"/>
                <w:sz w:val="20"/>
                <w:szCs w:val="20"/>
              </w:rPr>
            </w:pPr>
            <w:r>
              <w:rPr>
                <w:rFonts w:ascii="Calibri" w:hAnsi="Calibri" w:cs="Calibri"/>
                <w:sz w:val="20"/>
                <w:szCs w:val="20"/>
              </w:rPr>
              <w:t>électronique ou autre)</w:t>
            </w:r>
          </w:p>
        </w:tc>
        <w:tc>
          <w:tcPr>
            <w:tcW w:w="3755" w:type="pct"/>
          </w:tcPr>
          <w:p>
            <w:pPr>
              <w:jc w:val="both"/>
              <w:rPr>
                <w:rFonts w:ascii="Calibri" w:hAnsi="Calibri" w:cs="Calibri"/>
                <w:sz w:val="20"/>
                <w:szCs w:val="20"/>
              </w:rPr>
            </w:pPr>
            <w:r>
              <w:rPr>
                <w:rFonts w:ascii="Calibri" w:hAnsi="Calibri" w:cs="Calibri"/>
                <w:sz w:val="20"/>
                <w:szCs w:val="20"/>
              </w:rPr>
              <w:t>Placer au moins sur la page principale/de garde :</w:t>
            </w:r>
          </w:p>
          <w:p>
            <w:pPr>
              <w:numPr>
                <w:ilvl w:val="0"/>
                <w:numId w:val="9"/>
              </w:numPr>
              <w:jc w:val="both"/>
              <w:rPr>
                <w:rFonts w:ascii="Calibri" w:hAnsi="Calibri" w:cs="Calibri"/>
                <w:sz w:val="20"/>
                <w:szCs w:val="20"/>
              </w:rPr>
            </w:pPr>
            <w:r>
              <w:rPr>
                <w:rFonts w:ascii="Calibri" w:hAnsi="Calibri" w:cs="Calibri"/>
                <w:sz w:val="20"/>
                <w:szCs w:val="20"/>
              </w:rPr>
              <w:t>l’emblème de l’Union européenne et la mention « Union européenne »</w:t>
            </w:r>
          </w:p>
          <w:p>
            <w:pPr>
              <w:numPr>
                <w:ilvl w:val="0"/>
                <w:numId w:val="9"/>
              </w:numPr>
              <w:jc w:val="both"/>
              <w:rPr>
                <w:rFonts w:ascii="Calibri" w:hAnsi="Calibri" w:cs="Calibri"/>
                <w:sz w:val="20"/>
                <w:szCs w:val="20"/>
              </w:rPr>
            </w:pPr>
            <w:r>
              <w:rPr>
                <w:rFonts w:ascii="Calibri" w:hAnsi="Calibri" w:cs="Calibri"/>
                <w:sz w:val="20"/>
                <w:szCs w:val="20"/>
              </w:rPr>
              <w:t>la mention du FEDER : « Fonds européen de développement régional</w:t>
            </w:r>
          </w:p>
          <w:p>
            <w:pPr>
              <w:numPr>
                <w:ilvl w:val="0"/>
                <w:numId w:val="9"/>
              </w:numPr>
              <w:jc w:val="both"/>
              <w:rPr>
                <w:rFonts w:ascii="Calibri" w:hAnsi="Calibri" w:cs="Calibri"/>
                <w:sz w:val="20"/>
                <w:szCs w:val="20"/>
              </w:rPr>
            </w:pPr>
            <w:r>
              <w:rPr>
                <w:rFonts w:ascii="Calibri" w:hAnsi="Calibri" w:cs="Calibri"/>
                <w:sz w:val="20"/>
                <w:szCs w:val="20"/>
              </w:rPr>
              <w:t>l’emblème de la Région Bruxelles-Capitale et la mention explicite du soutien de la Région de Bruxelles-Capitale</w:t>
            </w:r>
          </w:p>
          <w:p>
            <w:pPr>
              <w:numPr>
                <w:ilvl w:val="0"/>
                <w:numId w:val="9"/>
              </w:numPr>
              <w:jc w:val="both"/>
              <w:rPr>
                <w:rFonts w:ascii="Calibri" w:hAnsi="Calibri" w:cs="Calibri"/>
                <w:sz w:val="20"/>
                <w:szCs w:val="20"/>
              </w:rPr>
            </w:pPr>
            <w:r>
              <w:rPr>
                <w:rFonts w:ascii="Calibri" w:hAnsi="Calibri" w:cs="Calibri"/>
                <w:sz w:val="20"/>
                <w:szCs w:val="20"/>
              </w:rPr>
              <w:t>le logo de la Fédération Wallonie-Bruxelles</w:t>
            </w:r>
          </w:p>
          <w:p>
            <w:pPr>
              <w:ind w:left="381"/>
              <w:jc w:val="both"/>
              <w:rPr>
                <w:rFonts w:ascii="Calibri" w:hAnsi="Calibri" w:cs="Calibri"/>
                <w:sz w:val="20"/>
                <w:szCs w:val="20"/>
              </w:rPr>
            </w:pPr>
            <w:r>
              <w:rPr>
                <w:rFonts w:ascii="Calibri" w:hAnsi="Calibri" w:cs="Calibri"/>
                <w:sz w:val="20"/>
                <w:szCs w:val="20"/>
              </w:rPr>
              <w:t>Les trois logos doivent être de taille équivalente.</w:t>
            </w:r>
          </w:p>
          <w:p>
            <w:pPr>
              <w:numPr>
                <w:ilvl w:val="0"/>
                <w:numId w:val="11"/>
              </w:numPr>
              <w:jc w:val="both"/>
              <w:rPr>
                <w:rFonts w:ascii="Calibri" w:hAnsi="Calibri" w:cs="Calibri"/>
                <w:sz w:val="20"/>
                <w:szCs w:val="20"/>
              </w:rPr>
            </w:pPr>
            <w:r>
              <w:rPr>
                <w:rFonts w:ascii="Calibri" w:hAnsi="Calibri" w:cs="Calibri"/>
                <w:sz w:val="20"/>
                <w:szCs w:val="20"/>
              </w:rPr>
              <w:t>la mention : « L’Europe, la Région et la Fédération Wallonie-Bruxelles investissent dans votre avenir ».</w:t>
            </w:r>
          </w:p>
        </w:tc>
      </w:tr>
      <w:tr>
        <w:tc>
          <w:tcPr>
            <w:tcW w:w="1245" w:type="pct"/>
          </w:tcPr>
          <w:p>
            <w:pPr>
              <w:jc w:val="both"/>
              <w:rPr>
                <w:rFonts w:ascii="Calibri" w:hAnsi="Calibri" w:cs="Calibri"/>
                <w:sz w:val="20"/>
                <w:szCs w:val="20"/>
              </w:rPr>
            </w:pPr>
            <w:r>
              <w:rPr>
                <w:rFonts w:ascii="Calibri" w:hAnsi="Calibri" w:cs="Calibri"/>
                <w:sz w:val="20"/>
                <w:szCs w:val="20"/>
              </w:rPr>
              <w:t>Evénement</w:t>
            </w:r>
          </w:p>
        </w:tc>
        <w:tc>
          <w:tcPr>
            <w:tcW w:w="3755" w:type="pct"/>
          </w:tcPr>
          <w:p>
            <w:pPr>
              <w:jc w:val="both"/>
              <w:rPr>
                <w:rFonts w:ascii="Calibri" w:hAnsi="Calibri" w:cs="Calibri"/>
                <w:sz w:val="20"/>
                <w:szCs w:val="20"/>
              </w:rPr>
            </w:pPr>
            <w:r>
              <w:rPr>
                <w:rFonts w:ascii="Calibri" w:hAnsi="Calibri" w:cs="Calibri"/>
                <w:sz w:val="20"/>
                <w:szCs w:val="20"/>
              </w:rPr>
              <w:t>Tout événement organisé dans le cadre du projet devra obligatoirement faire référence aux aides financières précitées et être renseigné au moins un mois à l’avance à la cellule FEDER.</w:t>
            </w:r>
          </w:p>
        </w:tc>
      </w:tr>
    </w:tbl>
    <w:p>
      <w:pPr>
        <w:rPr>
          <w:sz w:val="2"/>
          <w:szCs w:val="2"/>
        </w:rPr>
      </w:pPr>
    </w:p>
    <w:p>
      <w:pPr>
        <w:pStyle w:val="Paragraphedeliste"/>
        <w:numPr>
          <w:ilvl w:val="3"/>
          <w:numId w:val="57"/>
        </w:numPr>
        <w:spacing w:before="240" w:after="240"/>
        <w:ind w:left="992" w:hanging="992"/>
        <w:jc w:val="both"/>
        <w:rPr>
          <w:rFonts w:ascii="Calibri" w:hAnsi="Calibri" w:cs="Calibri"/>
          <w:i/>
          <w:u w:val="single"/>
        </w:rPr>
      </w:pPr>
      <w:r>
        <w:rPr>
          <w:rFonts w:ascii="Calibri" w:hAnsi="Calibri" w:cs="Calibri"/>
          <w:i/>
          <w:u w:val="single"/>
        </w:rPr>
        <w:t>Supports de communication</w:t>
      </w:r>
    </w:p>
    <w:p>
      <w:pPr>
        <w:spacing w:after="240"/>
        <w:jc w:val="both"/>
        <w:rPr>
          <w:rFonts w:ascii="Calibri" w:hAnsi="Calibri" w:cs="Calibri"/>
          <w:sz w:val="20"/>
          <w:szCs w:val="20"/>
        </w:rPr>
      </w:pPr>
      <w:r>
        <w:rPr>
          <w:rFonts w:ascii="Calibri" w:hAnsi="Calibri" w:cs="Calibri"/>
          <w:sz w:val="20"/>
          <w:szCs w:val="20"/>
        </w:rPr>
        <w:t>Le logo à utiliser est le suivant :</w:t>
      </w:r>
    </w:p>
    <w:p>
      <w:pPr>
        <w:spacing w:after="120"/>
        <w:jc w:val="center"/>
        <w:rPr>
          <w:rFonts w:ascii="Calibri" w:hAnsi="Calibri" w:cs="Calibri"/>
          <w:sz w:val="22"/>
          <w:szCs w:val="22"/>
        </w:rPr>
      </w:pPr>
      <w:r>
        <w:rPr>
          <w:rFonts w:ascii="Calibri" w:hAnsi="Calibri" w:cs="Calibri"/>
          <w:noProof/>
          <w:sz w:val="22"/>
          <w:szCs w:val="22"/>
          <w:lang w:eastAsia="fr-BE"/>
        </w:rPr>
        <w:drawing>
          <wp:inline distT="0" distB="0" distL="0" distR="0">
            <wp:extent cx="5760720" cy="1095375"/>
            <wp:effectExtent l="0" t="0" r="0" b="9525"/>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Logo RBC FWB FEDER BXL 2014-2020.jpg"/>
                    <pic:cNvPicPr/>
                  </pic:nvPicPr>
                  <pic:blipFill>
                    <a:blip r:embed="rId21">
                      <a:extLst>
                        <a:ext uri="{28A0092B-C50C-407E-A947-70E740481C1C}">
                          <a14:useLocalDpi xmlns:a14="http://schemas.microsoft.com/office/drawing/2010/main" val="0"/>
                        </a:ext>
                      </a:extLst>
                    </a:blip>
                    <a:stretch>
                      <a:fillRect/>
                    </a:stretch>
                  </pic:blipFill>
                  <pic:spPr>
                    <a:xfrm>
                      <a:off x="0" y="0"/>
                      <a:ext cx="5760720" cy="1095375"/>
                    </a:xfrm>
                    <a:prstGeom prst="rect">
                      <a:avLst/>
                    </a:prstGeom>
                  </pic:spPr>
                </pic:pic>
              </a:graphicData>
            </a:graphic>
          </wp:inline>
        </w:drawing>
      </w:r>
    </w:p>
    <w:p>
      <w:pPr>
        <w:spacing w:after="120"/>
        <w:jc w:val="both"/>
        <w:rPr>
          <w:rFonts w:ascii="Calibri" w:hAnsi="Calibri" w:cs="Calibri"/>
          <w:sz w:val="20"/>
          <w:szCs w:val="20"/>
        </w:rPr>
      </w:pPr>
      <w:r>
        <w:rPr>
          <w:rFonts w:ascii="Calibri" w:hAnsi="Calibri" w:cs="Calibri"/>
          <w:sz w:val="20"/>
          <w:szCs w:val="20"/>
        </w:rPr>
        <w:t>Il peut être envoyé sur demande par l’administration.</w:t>
      </w:r>
    </w:p>
    <w:p>
      <w:pPr>
        <w:spacing w:after="120"/>
        <w:jc w:val="both"/>
        <w:rPr>
          <w:rFonts w:ascii="Calibri" w:hAnsi="Calibri" w:cs="Calibri"/>
          <w:sz w:val="20"/>
          <w:szCs w:val="20"/>
        </w:rPr>
      </w:pPr>
      <w:r>
        <w:rPr>
          <w:rFonts w:ascii="Calibri" w:hAnsi="Calibri" w:cs="Calibri"/>
          <w:sz w:val="20"/>
          <w:szCs w:val="20"/>
        </w:rPr>
        <w:t>Des affiches au format A1 ainsi que des autocollants de différents formats sont également disponibles sur simple demande auprès de l’administration.</w:t>
      </w:r>
    </w:p>
    <w:p>
      <w:pPr>
        <w:spacing w:after="120"/>
        <w:jc w:val="both"/>
        <w:rPr>
          <w:rFonts w:ascii="Calibri" w:hAnsi="Calibri" w:cs="Calibri"/>
          <w:sz w:val="20"/>
          <w:szCs w:val="20"/>
        </w:rPr>
      </w:pPr>
      <w:r>
        <w:rPr>
          <w:rFonts w:ascii="Calibri" w:hAnsi="Calibri" w:cs="Calibri"/>
          <w:sz w:val="20"/>
          <w:szCs w:val="20"/>
        </w:rPr>
        <w:t>Si le CTA a profité d’autres sources de financement, il convient également d’apposer les logos et mentions adéquates.</w:t>
      </w:r>
    </w:p>
    <w:p>
      <w:pPr>
        <w:numPr>
          <w:ilvl w:val="0"/>
          <w:numId w:val="2"/>
        </w:numPr>
        <w:tabs>
          <w:tab w:val="clear" w:pos="720"/>
          <w:tab w:val="num" w:pos="709"/>
        </w:tabs>
        <w:spacing w:before="360" w:after="360"/>
        <w:ind w:left="709" w:hanging="709"/>
        <w:jc w:val="both"/>
        <w:rPr>
          <w:rFonts w:ascii="Calibri" w:hAnsi="Calibri" w:cs="Calibri"/>
          <w:b/>
          <w:smallCaps/>
          <w:sz w:val="40"/>
          <w:szCs w:val="40"/>
          <w:u w:val="single"/>
        </w:rPr>
      </w:pPr>
      <w:r>
        <w:rPr>
          <w:rFonts w:ascii="Calibri" w:hAnsi="Calibri" w:cs="Calibri"/>
          <w:b/>
          <w:smallCaps/>
          <w:sz w:val="40"/>
          <w:szCs w:val="40"/>
          <w:u w:val="single"/>
        </w:rPr>
        <w:t>Journées d’information et de formation à l’encodage destinées aux nouveaux coordonnateurs</w:t>
      </w:r>
    </w:p>
    <w:p>
      <w:pPr>
        <w:spacing w:after="120"/>
        <w:jc w:val="both"/>
        <w:rPr>
          <w:rFonts w:ascii="Calibri" w:hAnsi="Calibri" w:cs="Calibri"/>
          <w:sz w:val="20"/>
          <w:szCs w:val="20"/>
        </w:rPr>
      </w:pPr>
      <w:r>
        <w:rPr>
          <w:rFonts w:ascii="Calibri" w:hAnsi="Calibri" w:cs="Calibri"/>
          <w:sz w:val="20"/>
          <w:szCs w:val="20"/>
        </w:rPr>
        <w:t>Afin de faciliter la prise de fonction des nouveaux coordonnateurs de centre, l’administration organise une journée d’information au début de chaque année scolaire, ou lors de leur entrée en fonction. Une rencontre est prévue avec l’ensemble des membres du Service CTA-Cadastre-Fonds d’équipement et toutes les informations et documents d’ordre administratif nécessaires à la bonne gestion des centres leur sont présentés à cette occasion.</w:t>
      </w:r>
    </w:p>
    <w:p>
      <w:pPr>
        <w:spacing w:after="120"/>
        <w:jc w:val="both"/>
        <w:rPr>
          <w:sz w:val="20"/>
          <w:szCs w:val="20"/>
        </w:rPr>
      </w:pPr>
      <w:r>
        <w:rPr>
          <w:rFonts w:ascii="Calibri" w:hAnsi="Calibri" w:cs="Calibri"/>
          <w:sz w:val="20"/>
          <w:szCs w:val="20"/>
        </w:rPr>
        <w:t>Cette journée est également destinée à tout membre du personnel administratif en charge de la gestion administrative du CTA.</w:t>
      </w:r>
    </w:p>
    <w:p>
      <w:pPr>
        <w:rPr>
          <w:rFonts w:ascii="Calibri" w:hAnsi="Calibri" w:cs="Calibri"/>
          <w:b/>
          <w:smallCaps/>
          <w:sz w:val="40"/>
          <w:szCs w:val="40"/>
          <w:u w:val="single"/>
        </w:rPr>
      </w:pPr>
      <w:r>
        <w:rPr>
          <w:rFonts w:ascii="Calibri" w:hAnsi="Calibri" w:cs="Calibri"/>
          <w:b/>
          <w:smallCaps/>
          <w:sz w:val="40"/>
          <w:szCs w:val="40"/>
          <w:u w:val="single"/>
        </w:rPr>
        <w:br w:type="page"/>
      </w:r>
    </w:p>
    <w:p>
      <w:pPr>
        <w:numPr>
          <w:ilvl w:val="0"/>
          <w:numId w:val="2"/>
        </w:numPr>
        <w:tabs>
          <w:tab w:val="clear" w:pos="720"/>
          <w:tab w:val="num" w:pos="709"/>
        </w:tabs>
        <w:spacing w:before="360" w:after="360"/>
        <w:ind w:left="709" w:hanging="709"/>
        <w:jc w:val="both"/>
        <w:rPr>
          <w:rFonts w:ascii="Calibri" w:hAnsi="Calibri" w:cs="Calibri"/>
          <w:b/>
          <w:smallCaps/>
          <w:sz w:val="40"/>
          <w:szCs w:val="40"/>
          <w:u w:val="single"/>
        </w:rPr>
      </w:pPr>
      <w:r>
        <w:rPr>
          <w:rFonts w:ascii="Calibri" w:hAnsi="Calibri" w:cs="Calibri"/>
          <w:b/>
          <w:smallCaps/>
          <w:sz w:val="40"/>
          <w:szCs w:val="40"/>
          <w:u w:val="single"/>
        </w:rPr>
        <w:lastRenderedPageBreak/>
        <w:t>Evaluation et pilotage</w:t>
      </w:r>
    </w:p>
    <w:p>
      <w:pPr>
        <w:spacing w:after="120"/>
        <w:jc w:val="both"/>
        <w:rPr>
          <w:rFonts w:ascii="Calibri" w:hAnsi="Calibri" w:cs="Calibri"/>
          <w:sz w:val="20"/>
          <w:szCs w:val="20"/>
        </w:rPr>
      </w:pPr>
      <w:r>
        <w:rPr>
          <w:rFonts w:ascii="Calibri" w:hAnsi="Calibri" w:cs="Calibri"/>
          <w:sz w:val="20"/>
          <w:szCs w:val="20"/>
        </w:rPr>
        <w:t>Le décret du 11 avril 2014 prévoit qu’une évaluation régulière du dispositif CTA soit mise en place par le Gouvernement de la Fédération Wallonie-Bruxelles, en collaboration avec le Comité de pilotage des accords de coopération et l’administration. Une première évaluation du dispositif a été réalisée en 2015.</w:t>
      </w:r>
    </w:p>
    <w:p>
      <w:pPr>
        <w:spacing w:after="120"/>
        <w:jc w:val="both"/>
        <w:rPr>
          <w:rFonts w:ascii="Calibri" w:hAnsi="Calibri" w:cs="Calibri"/>
          <w:sz w:val="20"/>
          <w:szCs w:val="20"/>
        </w:rPr>
      </w:pPr>
      <w:r>
        <w:rPr>
          <w:rFonts w:ascii="Calibri" w:hAnsi="Calibri" w:cs="Calibri"/>
          <w:sz w:val="20"/>
          <w:szCs w:val="20"/>
        </w:rPr>
        <w:t>Cette évaluation portera notamment sur les axes suivants :</w:t>
      </w:r>
    </w:p>
    <w:p>
      <w:pPr>
        <w:numPr>
          <w:ilvl w:val="0"/>
          <w:numId w:val="41"/>
        </w:numPr>
        <w:spacing w:after="120"/>
        <w:jc w:val="both"/>
        <w:rPr>
          <w:rFonts w:ascii="Calibri" w:hAnsi="Calibri" w:cs="Calibri"/>
          <w:sz w:val="20"/>
          <w:szCs w:val="20"/>
        </w:rPr>
      </w:pPr>
      <w:r>
        <w:rPr>
          <w:rFonts w:ascii="Calibri" w:hAnsi="Calibri" w:cs="Calibri"/>
          <w:sz w:val="20"/>
          <w:szCs w:val="20"/>
        </w:rPr>
        <w:t xml:space="preserve">évaluation des apports pédagogiques : en quoi les équipements concourent-ils à de meilleurs apprentissages ? </w:t>
      </w:r>
    </w:p>
    <w:p>
      <w:pPr>
        <w:numPr>
          <w:ilvl w:val="0"/>
          <w:numId w:val="41"/>
        </w:numPr>
        <w:spacing w:after="120"/>
        <w:jc w:val="both"/>
        <w:rPr>
          <w:rFonts w:ascii="Calibri" w:hAnsi="Calibri" w:cs="Calibri"/>
          <w:sz w:val="20"/>
          <w:szCs w:val="20"/>
        </w:rPr>
      </w:pPr>
      <w:r>
        <w:rPr>
          <w:rFonts w:ascii="Calibri" w:hAnsi="Calibri" w:cs="Calibri"/>
          <w:sz w:val="20"/>
          <w:szCs w:val="20"/>
        </w:rPr>
        <w:t xml:space="preserve">évaluation de l’utilisation des équipements : taux de fréquentation, conditions d’utilisation. </w:t>
      </w:r>
    </w:p>
    <w:p>
      <w:pPr>
        <w:spacing w:after="120"/>
        <w:jc w:val="both"/>
        <w:rPr>
          <w:rFonts w:ascii="Calibri" w:hAnsi="Calibri" w:cs="Calibri"/>
          <w:sz w:val="20"/>
          <w:szCs w:val="20"/>
        </w:rPr>
      </w:pPr>
      <w:r>
        <w:rPr>
          <w:rFonts w:ascii="Calibri" w:hAnsi="Calibri" w:cs="Calibri"/>
          <w:sz w:val="20"/>
          <w:szCs w:val="20"/>
        </w:rPr>
        <w:t xml:space="preserve">Les CTA et les opérateurs-utilisateurs s’engagent à participer activement à ce processus d’évaluation. </w:t>
      </w:r>
    </w:p>
    <w:p>
      <w:pPr>
        <w:numPr>
          <w:ilvl w:val="0"/>
          <w:numId w:val="2"/>
        </w:numPr>
        <w:tabs>
          <w:tab w:val="clear" w:pos="720"/>
          <w:tab w:val="num" w:pos="709"/>
        </w:tabs>
        <w:spacing w:before="360" w:after="360"/>
        <w:ind w:left="709" w:hanging="709"/>
        <w:jc w:val="both"/>
        <w:rPr>
          <w:rFonts w:ascii="Calibri" w:hAnsi="Calibri" w:cs="Calibri"/>
          <w:b/>
          <w:smallCaps/>
          <w:sz w:val="40"/>
          <w:szCs w:val="40"/>
          <w:u w:val="single"/>
        </w:rPr>
      </w:pPr>
      <w:r>
        <w:rPr>
          <w:rFonts w:ascii="Calibri" w:hAnsi="Calibri" w:cs="Calibri"/>
          <w:b/>
          <w:smallCaps/>
          <w:sz w:val="40"/>
          <w:szCs w:val="40"/>
          <w:u w:val="single"/>
        </w:rPr>
        <w:t>Planning prévisionnel</w:t>
      </w:r>
    </w:p>
    <w:p>
      <w:pPr>
        <w:spacing w:after="120"/>
        <w:jc w:val="both"/>
        <w:rPr>
          <w:rFonts w:ascii="Calibri" w:hAnsi="Calibri" w:cs="Calibri"/>
          <w:sz w:val="20"/>
          <w:szCs w:val="20"/>
        </w:rPr>
      </w:pPr>
      <w:r>
        <w:rPr>
          <w:rFonts w:ascii="Calibri" w:hAnsi="Calibri" w:cs="Calibri"/>
          <w:sz w:val="20"/>
          <w:szCs w:val="20"/>
        </w:rPr>
        <w:t>Chaque CTA doit transmettre un planning prévisionnel d’occupation au Comité d’accompagnement et à l’administration deux fois par an (le 1</w:t>
      </w:r>
      <w:r>
        <w:rPr>
          <w:rFonts w:ascii="Calibri" w:hAnsi="Calibri" w:cs="Calibri"/>
          <w:sz w:val="20"/>
          <w:szCs w:val="20"/>
          <w:vertAlign w:val="superscript"/>
        </w:rPr>
        <w:t>er</w:t>
      </w:r>
      <w:r>
        <w:rPr>
          <w:rFonts w:ascii="Calibri" w:hAnsi="Calibri" w:cs="Calibri"/>
          <w:sz w:val="20"/>
          <w:szCs w:val="20"/>
        </w:rPr>
        <w:t xml:space="preserve"> février et le 1</w:t>
      </w:r>
      <w:r>
        <w:rPr>
          <w:rFonts w:ascii="Calibri" w:hAnsi="Calibri" w:cs="Calibri"/>
          <w:sz w:val="20"/>
          <w:szCs w:val="20"/>
          <w:vertAlign w:val="superscript"/>
        </w:rPr>
        <w:t>er</w:t>
      </w:r>
      <w:r>
        <w:rPr>
          <w:rFonts w:ascii="Calibri" w:hAnsi="Calibri" w:cs="Calibri"/>
          <w:sz w:val="20"/>
          <w:szCs w:val="20"/>
        </w:rPr>
        <w:t xml:space="preserve"> octobre). La non-transmission de ce planning peut retarder la mise en paiement des subventions.</w:t>
      </w:r>
    </w:p>
    <w:p>
      <w:pPr>
        <w:spacing w:after="120"/>
        <w:jc w:val="both"/>
        <w:rPr>
          <w:rFonts w:ascii="Calibri" w:hAnsi="Calibri" w:cs="Calibri"/>
          <w:sz w:val="20"/>
          <w:szCs w:val="20"/>
        </w:rPr>
      </w:pPr>
      <w:r>
        <w:rPr>
          <w:rFonts w:ascii="Calibri" w:hAnsi="Calibri" w:cs="Calibri"/>
          <w:sz w:val="20"/>
          <w:szCs w:val="20"/>
        </w:rPr>
        <w:t>La transmission de celui-ci à l’administration se fait par voie électronique.</w:t>
      </w:r>
    </w:p>
    <w:p>
      <w:pPr>
        <w:numPr>
          <w:ilvl w:val="0"/>
          <w:numId w:val="2"/>
        </w:numPr>
        <w:tabs>
          <w:tab w:val="clear" w:pos="720"/>
          <w:tab w:val="num" w:pos="709"/>
        </w:tabs>
        <w:spacing w:before="360" w:after="360"/>
        <w:ind w:left="709" w:hanging="709"/>
        <w:jc w:val="both"/>
        <w:rPr>
          <w:rFonts w:ascii="Calibri" w:hAnsi="Calibri" w:cs="Calibri"/>
          <w:b/>
          <w:smallCaps/>
          <w:sz w:val="40"/>
          <w:szCs w:val="40"/>
          <w:u w:val="single"/>
        </w:rPr>
      </w:pPr>
      <w:r>
        <w:rPr>
          <w:rFonts w:ascii="Calibri" w:hAnsi="Calibri" w:cs="Calibri"/>
          <w:b/>
          <w:smallCaps/>
          <w:sz w:val="40"/>
          <w:szCs w:val="40"/>
          <w:u w:val="single"/>
        </w:rPr>
        <w:t>Réseau de partage sécurisé</w:t>
      </w:r>
    </w:p>
    <w:p>
      <w:pPr>
        <w:spacing w:after="120"/>
        <w:jc w:val="both"/>
        <w:rPr>
          <w:rFonts w:ascii="Calibri" w:hAnsi="Calibri" w:cs="Calibri"/>
          <w:sz w:val="20"/>
          <w:szCs w:val="20"/>
        </w:rPr>
      </w:pPr>
      <w:r>
        <w:rPr>
          <w:rFonts w:ascii="Calibri" w:hAnsi="Calibri" w:cs="Calibri"/>
          <w:sz w:val="20"/>
          <w:szCs w:val="20"/>
        </w:rPr>
        <w:t xml:space="preserve">L’administration a mis à disposition des centres un réseau de partage sécurisé accessible via l’adresse url suivante : </w:t>
      </w:r>
      <w:r>
        <w:rPr>
          <w:rFonts w:ascii="Calibri" w:hAnsi="Calibri" w:cs="Calibri"/>
          <w:b/>
          <w:sz w:val="20"/>
          <w:szCs w:val="20"/>
        </w:rPr>
        <w:t>https://ged.cfwb.be</w:t>
      </w:r>
      <w:r>
        <w:rPr>
          <w:rFonts w:ascii="Calibri" w:hAnsi="Calibri" w:cs="Calibri"/>
          <w:sz w:val="20"/>
          <w:szCs w:val="20"/>
        </w:rPr>
        <w:t xml:space="preserve"> et les accès CERBERE de chaque CTA.</w:t>
      </w:r>
    </w:p>
    <w:p>
      <w:pPr>
        <w:spacing w:after="120"/>
        <w:jc w:val="both"/>
        <w:rPr>
          <w:rFonts w:ascii="Calibri" w:hAnsi="Calibri" w:cs="Calibri"/>
          <w:sz w:val="20"/>
          <w:szCs w:val="20"/>
        </w:rPr>
      </w:pPr>
      <w:r>
        <w:rPr>
          <w:rFonts w:ascii="Calibri" w:hAnsi="Calibri" w:cs="Calibri"/>
          <w:sz w:val="20"/>
          <w:szCs w:val="20"/>
        </w:rPr>
        <w:t>Ce partage a pour objectif :</w:t>
      </w:r>
    </w:p>
    <w:p>
      <w:pPr>
        <w:numPr>
          <w:ilvl w:val="0"/>
          <w:numId w:val="43"/>
        </w:numPr>
        <w:spacing w:after="120"/>
        <w:jc w:val="both"/>
        <w:rPr>
          <w:rFonts w:ascii="Calibri" w:hAnsi="Calibri" w:cs="Calibri"/>
          <w:sz w:val="20"/>
          <w:szCs w:val="20"/>
        </w:rPr>
      </w:pPr>
      <w:r>
        <w:rPr>
          <w:rFonts w:ascii="Calibri" w:hAnsi="Calibri" w:cs="Calibri"/>
          <w:sz w:val="20"/>
          <w:szCs w:val="20"/>
        </w:rPr>
        <w:t>La mise à disposition d’un espace de stockage sécurisé via la mise à disposition d’un dossier d’archivage personnel</w:t>
      </w:r>
    </w:p>
    <w:p>
      <w:pPr>
        <w:numPr>
          <w:ilvl w:val="0"/>
          <w:numId w:val="43"/>
        </w:numPr>
        <w:spacing w:after="120"/>
        <w:jc w:val="both"/>
        <w:rPr>
          <w:rFonts w:ascii="Calibri" w:hAnsi="Calibri" w:cs="Calibri"/>
          <w:sz w:val="20"/>
          <w:szCs w:val="20"/>
        </w:rPr>
      </w:pPr>
      <w:r>
        <w:rPr>
          <w:rFonts w:ascii="Calibri" w:hAnsi="Calibri" w:cs="Calibri"/>
          <w:sz w:val="20"/>
          <w:szCs w:val="20"/>
        </w:rPr>
        <w:t>La transmission facilitée de documents en provenance de l’administration au moyen d’un dossier accessible à tous (documents accessibles uniquement en lecture et téléchargement, pas de modification possible du dossier commun)</w:t>
      </w:r>
    </w:p>
    <w:p>
      <w:pPr>
        <w:numPr>
          <w:ilvl w:val="0"/>
          <w:numId w:val="43"/>
        </w:numPr>
        <w:spacing w:after="120"/>
        <w:jc w:val="both"/>
        <w:rPr>
          <w:rFonts w:ascii="Calibri" w:hAnsi="Calibri" w:cs="Calibri"/>
          <w:sz w:val="20"/>
          <w:szCs w:val="20"/>
        </w:rPr>
      </w:pPr>
      <w:r>
        <w:rPr>
          <w:rFonts w:ascii="Calibri" w:hAnsi="Calibri" w:cs="Calibri"/>
          <w:sz w:val="20"/>
          <w:szCs w:val="20"/>
        </w:rPr>
        <w:t>La sauvegarde régulière des données archivées (tous les jours)</w:t>
      </w:r>
    </w:p>
    <w:p>
      <w:pPr>
        <w:spacing w:after="120"/>
        <w:jc w:val="both"/>
        <w:rPr>
          <w:rFonts w:ascii="Calibri" w:hAnsi="Calibri" w:cs="Calibri"/>
          <w:sz w:val="20"/>
          <w:szCs w:val="20"/>
        </w:rPr>
      </w:pPr>
      <w:r>
        <w:rPr>
          <w:rFonts w:ascii="Calibri" w:hAnsi="Calibri" w:cs="Calibri"/>
          <w:sz w:val="20"/>
          <w:szCs w:val="20"/>
        </w:rPr>
        <w:t>Chaque CTA dispose d’un dossier nominatif privé d’une capacité de 50 giga octets dans lequel il peut stocker tous les documents souhaités. Le CTA est le seul à pouvoir accéder à son dossier nominatif, à l’exception de l’administration, qui dispose d’un accès aux dossiers de l’ensemble des CTA. Cette fonctionnalité peut être utilisée par l’administration pour mettre des documents à disposition du personnel des centres dans leur dossier.</w:t>
      </w:r>
    </w:p>
    <w:p>
      <w:pPr>
        <w:spacing w:after="120"/>
        <w:jc w:val="both"/>
        <w:rPr>
          <w:rFonts w:ascii="Calibri" w:hAnsi="Calibri" w:cs="Calibri"/>
          <w:sz w:val="20"/>
          <w:szCs w:val="20"/>
        </w:rPr>
      </w:pPr>
      <w:r>
        <w:rPr>
          <w:rFonts w:ascii="Calibri" w:hAnsi="Calibri" w:cs="Calibri"/>
          <w:sz w:val="20"/>
          <w:szCs w:val="20"/>
        </w:rPr>
        <w:t>Un dossier « Commun.Mfwb » est également accessible. Il contient tous les documents et informations utiles dont le CTA peut avoir besoin dans le cadre de sa gestion administrative (modèles de documents, réglementation, coordonnées, PV des réunions de coordination, etc.).</w:t>
      </w:r>
    </w:p>
    <w:p>
      <w:pPr>
        <w:spacing w:after="120"/>
        <w:jc w:val="both"/>
        <w:rPr>
          <w:rFonts w:ascii="Calibri" w:hAnsi="Calibri" w:cs="Calibri"/>
          <w:sz w:val="20"/>
          <w:szCs w:val="20"/>
        </w:rPr>
      </w:pPr>
      <w:r>
        <w:rPr>
          <w:rFonts w:ascii="Calibri" w:hAnsi="Calibri" w:cs="Calibri"/>
          <w:sz w:val="20"/>
          <w:szCs w:val="20"/>
        </w:rPr>
        <w:t xml:space="preserve">Un vade-mecum d’utilisation est à disposition en </w:t>
      </w:r>
      <w:r>
        <w:rPr>
          <w:rFonts w:ascii="Calibri" w:hAnsi="Calibri" w:cs="Calibri"/>
          <w:b/>
          <w:sz w:val="20"/>
          <w:szCs w:val="20"/>
          <w:u w:val="single"/>
        </w:rPr>
        <w:t>annexe 17</w:t>
      </w:r>
      <w:r>
        <w:rPr>
          <w:rFonts w:ascii="Calibri" w:hAnsi="Calibri" w:cs="Calibri"/>
          <w:sz w:val="20"/>
          <w:szCs w:val="20"/>
        </w:rPr>
        <w:t xml:space="preserve"> de la présente circulaire.</w:t>
      </w:r>
    </w:p>
    <w:p>
      <w:pPr>
        <w:rPr>
          <w:rFonts w:ascii="Calibri" w:hAnsi="Calibri" w:cs="Calibri"/>
          <w:b/>
          <w:smallCaps/>
          <w:sz w:val="40"/>
          <w:szCs w:val="40"/>
          <w:u w:val="single"/>
        </w:rPr>
      </w:pPr>
      <w:r>
        <w:rPr>
          <w:rFonts w:ascii="Calibri" w:hAnsi="Calibri" w:cs="Calibri"/>
          <w:b/>
          <w:smallCaps/>
          <w:sz w:val="40"/>
          <w:szCs w:val="40"/>
          <w:u w:val="single"/>
        </w:rPr>
        <w:br w:type="page"/>
      </w:r>
    </w:p>
    <w:p>
      <w:pPr>
        <w:numPr>
          <w:ilvl w:val="0"/>
          <w:numId w:val="2"/>
        </w:numPr>
        <w:tabs>
          <w:tab w:val="clear" w:pos="720"/>
          <w:tab w:val="num" w:pos="709"/>
        </w:tabs>
        <w:spacing w:before="360" w:after="360"/>
        <w:ind w:left="709" w:hanging="709"/>
        <w:jc w:val="both"/>
        <w:rPr>
          <w:rFonts w:ascii="Calibri" w:hAnsi="Calibri" w:cs="Calibri"/>
          <w:b/>
          <w:smallCaps/>
          <w:sz w:val="40"/>
          <w:szCs w:val="40"/>
          <w:u w:val="single"/>
        </w:rPr>
      </w:pPr>
      <w:r>
        <w:rPr>
          <w:rFonts w:ascii="Calibri" w:hAnsi="Calibri" w:cs="Calibri"/>
          <w:b/>
          <w:smallCaps/>
          <w:sz w:val="40"/>
          <w:szCs w:val="40"/>
          <w:u w:val="single"/>
        </w:rPr>
        <w:lastRenderedPageBreak/>
        <w:t>Règlement général sur la protection des données personnelles</w:t>
      </w:r>
    </w:p>
    <w:p>
      <w:pPr>
        <w:tabs>
          <w:tab w:val="num" w:pos="720"/>
        </w:tabs>
        <w:spacing w:after="240"/>
        <w:jc w:val="both"/>
        <w:rPr>
          <w:rFonts w:ascii="Calibri" w:hAnsi="Calibri" w:cs="Calibri"/>
          <w:sz w:val="20"/>
          <w:szCs w:val="20"/>
        </w:rPr>
      </w:pPr>
      <w:r>
        <w:rPr>
          <w:rFonts w:ascii="Calibri" w:hAnsi="Calibri" w:cs="Calibri"/>
          <w:sz w:val="20"/>
          <w:szCs w:val="20"/>
        </w:rPr>
        <w:t xml:space="preserve">Le Règlement Général sur la Protection des Données (en abrégé RGPD), adopté le 27 avril 2016, vise les données à caractère personnel. Ce Règlement a pour objectif principal d’assurer un même niveau de protection aux données à caractère personnel, et ce dans l’ensemble des Etats membres de l’Union Européenne. Le Règlement général sur la protection des données personnelles est une directive européenne mise en place depuis le 25 mai 2018. Sa mise en application implique plusieurs mesures qui sont explicitées dans le tome 1, chapitre 10, point III de la </w:t>
      </w:r>
      <w:r>
        <w:rPr>
          <w:rFonts w:ascii="Calibri" w:hAnsi="Calibri" w:cs="Calibri"/>
          <w:b/>
          <w:sz w:val="20"/>
          <w:szCs w:val="20"/>
          <w:u w:val="single"/>
        </w:rPr>
        <w:t>circulaire n° 6741 du 4 juillet 2018</w:t>
      </w:r>
      <w:r>
        <w:rPr>
          <w:rFonts w:ascii="Calibri" w:hAnsi="Calibri" w:cs="Calibri"/>
          <w:sz w:val="20"/>
          <w:szCs w:val="20"/>
        </w:rPr>
        <w:t xml:space="preserve"> relative à l’organisation de l’enseignement secondaire ordinaire et à la sanction des études.</w:t>
      </w:r>
    </w:p>
    <w:p>
      <w:pPr>
        <w:tabs>
          <w:tab w:val="num" w:pos="720"/>
        </w:tabs>
        <w:spacing w:after="240"/>
        <w:jc w:val="both"/>
        <w:rPr>
          <w:rFonts w:ascii="Calibri" w:hAnsi="Calibri" w:cs="Calibri"/>
          <w:sz w:val="20"/>
          <w:szCs w:val="20"/>
        </w:rPr>
      </w:pPr>
      <w:r>
        <w:rPr>
          <w:rFonts w:ascii="Calibri" w:hAnsi="Calibri" w:cs="Calibri"/>
          <w:sz w:val="20"/>
          <w:szCs w:val="20"/>
        </w:rPr>
        <w:t>L’une de ces mesures est que chaque Pouvoir organisateur doit désigner un délégué à la protection des données personnelles. Il est la personne de référence concernant toute question relevant de la protection des données personnelles qui se poserait au sein des CTA, notamment concernant les mesures de conservation de ces données. Toutefois, il est rappelé que celles-ci doivent être conservées 10 ans au minimum.</w:t>
      </w:r>
    </w:p>
    <w:p>
      <w:pPr>
        <w:tabs>
          <w:tab w:val="num" w:pos="720"/>
        </w:tabs>
        <w:spacing w:after="240"/>
        <w:jc w:val="both"/>
        <w:rPr>
          <w:rFonts w:ascii="Calibri" w:hAnsi="Calibri" w:cs="Calibri"/>
          <w:sz w:val="20"/>
          <w:szCs w:val="20"/>
        </w:rPr>
      </w:pPr>
      <w:r>
        <w:rPr>
          <w:rFonts w:ascii="Calibri" w:hAnsi="Calibri" w:cs="Calibri"/>
          <w:sz w:val="20"/>
          <w:szCs w:val="20"/>
        </w:rPr>
        <w:t>Concernant le traitement effectué par ses soins des données récoltées auprès des CTA, la Direction Relations Ecoles-Monde du Travail travaille avec le délégué à la protection des données personnelles nommé par la Fédération Wallonie-Bruxelles, notamment en introduisant au sein des conventions bilatérales générales une explication concernant le traitement qui est fait des données personnelles récoltées (</w:t>
      </w:r>
      <w:r>
        <w:rPr>
          <w:rFonts w:ascii="Calibri" w:hAnsi="Calibri" w:cs="Calibri"/>
          <w:b/>
          <w:sz w:val="20"/>
          <w:szCs w:val="20"/>
          <w:u w:val="single"/>
        </w:rPr>
        <w:t>Annexes 3 à 6</w:t>
      </w:r>
      <w:r>
        <w:rPr>
          <w:rFonts w:ascii="Calibri" w:hAnsi="Calibri" w:cs="Calibri"/>
          <w:sz w:val="20"/>
          <w:szCs w:val="20"/>
        </w:rPr>
        <w:t>).</w:t>
      </w:r>
    </w:p>
    <w:p>
      <w:pPr>
        <w:tabs>
          <w:tab w:val="num" w:pos="720"/>
        </w:tabs>
        <w:spacing w:after="240"/>
        <w:jc w:val="both"/>
        <w:rPr>
          <w:rFonts w:ascii="Calibri" w:hAnsi="Calibri" w:cs="Calibri"/>
          <w:sz w:val="20"/>
          <w:szCs w:val="20"/>
          <w:u w:val="single"/>
        </w:rPr>
      </w:pPr>
      <w:r>
        <w:rPr>
          <w:rFonts w:ascii="Calibri" w:hAnsi="Calibri" w:cs="Calibri"/>
          <w:sz w:val="20"/>
          <w:szCs w:val="20"/>
        </w:rPr>
        <w:t>Enfin, il est rappelé qu’aucune donnée personnelle récoltées dans le cadre des formations organisées en CTA n’est utilisée à des fins commerciales, mais bien uniquement pour la production de données statistiques.</w:t>
      </w:r>
    </w:p>
    <w:p>
      <w:pPr>
        <w:numPr>
          <w:ilvl w:val="0"/>
          <w:numId w:val="2"/>
        </w:numPr>
        <w:tabs>
          <w:tab w:val="clear" w:pos="720"/>
          <w:tab w:val="num" w:pos="709"/>
        </w:tabs>
        <w:spacing w:before="360" w:after="360"/>
        <w:ind w:left="709" w:hanging="709"/>
        <w:jc w:val="both"/>
        <w:rPr>
          <w:rFonts w:ascii="Calibri" w:hAnsi="Calibri" w:cs="Calibri"/>
          <w:b/>
          <w:smallCaps/>
          <w:sz w:val="40"/>
          <w:szCs w:val="40"/>
          <w:u w:val="single"/>
        </w:rPr>
      </w:pPr>
      <w:r>
        <w:rPr>
          <w:rFonts w:ascii="Calibri" w:hAnsi="Calibri" w:cs="Calibri"/>
          <w:b/>
          <w:smallCaps/>
          <w:sz w:val="40"/>
          <w:szCs w:val="40"/>
          <w:u w:val="single"/>
        </w:rPr>
        <w:t>Rappel des différentes échéances administratives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7053"/>
      </w:tblGrid>
      <w:tr>
        <w:tc>
          <w:tcPr>
            <w:tcW w:w="1809" w:type="dxa"/>
          </w:tcPr>
          <w:p>
            <w:pPr>
              <w:spacing w:before="240" w:after="240"/>
              <w:jc w:val="both"/>
              <w:rPr>
                <w:rFonts w:ascii="Calibri" w:eastAsia="Calibri" w:hAnsi="Calibri" w:cs="Calibri"/>
                <w:b/>
                <w:sz w:val="20"/>
                <w:szCs w:val="20"/>
                <w:u w:val="single"/>
              </w:rPr>
            </w:pPr>
            <w:r>
              <w:rPr>
                <w:rFonts w:ascii="Calibri" w:eastAsia="Calibri" w:hAnsi="Calibri" w:cs="Calibri"/>
                <w:b/>
                <w:sz w:val="20"/>
                <w:szCs w:val="20"/>
              </w:rPr>
              <w:t>15 janvier</w:t>
            </w:r>
          </w:p>
        </w:tc>
        <w:tc>
          <w:tcPr>
            <w:tcW w:w="7053" w:type="dxa"/>
          </w:tcPr>
          <w:p>
            <w:pPr>
              <w:spacing w:before="240" w:after="240"/>
              <w:jc w:val="both"/>
              <w:rPr>
                <w:rFonts w:ascii="Calibri" w:eastAsia="Calibri" w:hAnsi="Calibri" w:cs="Calibri"/>
                <w:b/>
                <w:sz w:val="20"/>
                <w:szCs w:val="20"/>
                <w:u w:val="single"/>
              </w:rPr>
            </w:pPr>
            <w:r>
              <w:rPr>
                <w:rFonts w:ascii="Calibri" w:eastAsia="Calibri" w:hAnsi="Calibri" w:cs="Calibri"/>
                <w:sz w:val="20"/>
                <w:szCs w:val="20"/>
              </w:rPr>
              <w:t>date limite d’envoi des demandes de remboursement des frais de déplacement et d’hébergement pour l’année civile précédente</w:t>
            </w:r>
          </w:p>
        </w:tc>
      </w:tr>
      <w:tr>
        <w:tc>
          <w:tcPr>
            <w:tcW w:w="1809" w:type="dxa"/>
          </w:tcPr>
          <w:p>
            <w:pPr>
              <w:spacing w:before="240" w:after="240"/>
              <w:jc w:val="both"/>
              <w:rPr>
                <w:rFonts w:ascii="Calibri" w:eastAsia="Calibri" w:hAnsi="Calibri" w:cs="Calibri"/>
                <w:b/>
                <w:sz w:val="20"/>
                <w:szCs w:val="20"/>
                <w:u w:val="single"/>
              </w:rPr>
            </w:pPr>
            <w:r>
              <w:rPr>
                <w:rFonts w:ascii="Calibri" w:eastAsia="Calibri" w:hAnsi="Calibri" w:cs="Calibri"/>
                <w:b/>
                <w:sz w:val="20"/>
                <w:szCs w:val="20"/>
              </w:rPr>
              <w:t>31 janvier </w:t>
            </w:r>
          </w:p>
        </w:tc>
        <w:tc>
          <w:tcPr>
            <w:tcW w:w="7053" w:type="dxa"/>
          </w:tcPr>
          <w:p>
            <w:pPr>
              <w:spacing w:before="240" w:after="240"/>
              <w:jc w:val="both"/>
              <w:rPr>
                <w:rFonts w:ascii="Calibri" w:eastAsia="Calibri" w:hAnsi="Calibri" w:cs="Calibri"/>
                <w:b/>
                <w:sz w:val="20"/>
                <w:szCs w:val="20"/>
                <w:u w:val="single"/>
              </w:rPr>
            </w:pPr>
            <w:r>
              <w:rPr>
                <w:rFonts w:ascii="Calibri" w:eastAsia="Calibri" w:hAnsi="Calibri" w:cs="Calibri"/>
                <w:sz w:val="20"/>
                <w:szCs w:val="20"/>
              </w:rPr>
              <w:t>date limite d’envoi de tous les formulaires d’encodage de l’année civile écoulée, ainsi que des dossiers justificatifs (copie des bordereaux signés et des listes de présences signées par les participants)</w:t>
            </w:r>
          </w:p>
        </w:tc>
      </w:tr>
      <w:tr>
        <w:tc>
          <w:tcPr>
            <w:tcW w:w="1809" w:type="dxa"/>
          </w:tcPr>
          <w:p>
            <w:pPr>
              <w:spacing w:before="240" w:after="240"/>
              <w:jc w:val="both"/>
              <w:rPr>
                <w:rFonts w:ascii="Calibri" w:eastAsia="Calibri" w:hAnsi="Calibri" w:cs="Calibri"/>
                <w:b/>
                <w:sz w:val="20"/>
                <w:szCs w:val="20"/>
                <w:u w:val="single"/>
              </w:rPr>
            </w:pPr>
            <w:r>
              <w:rPr>
                <w:rFonts w:ascii="Calibri" w:eastAsia="Calibri" w:hAnsi="Calibri" w:cs="Calibri"/>
                <w:b/>
                <w:sz w:val="20"/>
                <w:szCs w:val="20"/>
              </w:rPr>
              <w:t>1</w:t>
            </w:r>
            <w:r>
              <w:rPr>
                <w:rFonts w:ascii="Calibri" w:eastAsia="Calibri" w:hAnsi="Calibri" w:cs="Calibri"/>
                <w:b/>
                <w:sz w:val="20"/>
                <w:szCs w:val="20"/>
                <w:vertAlign w:val="superscript"/>
              </w:rPr>
              <w:t>er</w:t>
            </w:r>
            <w:r>
              <w:rPr>
                <w:rFonts w:ascii="Calibri" w:eastAsia="Calibri" w:hAnsi="Calibri" w:cs="Calibri"/>
                <w:b/>
                <w:sz w:val="20"/>
                <w:szCs w:val="20"/>
              </w:rPr>
              <w:t xml:space="preserve"> févier</w:t>
            </w:r>
          </w:p>
        </w:tc>
        <w:tc>
          <w:tcPr>
            <w:tcW w:w="7053" w:type="dxa"/>
          </w:tcPr>
          <w:p>
            <w:pPr>
              <w:spacing w:before="240" w:after="240"/>
              <w:jc w:val="both"/>
              <w:rPr>
                <w:rFonts w:ascii="Calibri" w:eastAsia="Calibri" w:hAnsi="Calibri" w:cs="Calibri"/>
                <w:b/>
                <w:sz w:val="20"/>
                <w:szCs w:val="20"/>
                <w:u w:val="single"/>
              </w:rPr>
            </w:pPr>
            <w:r>
              <w:rPr>
                <w:rFonts w:ascii="Calibri" w:eastAsia="Calibri" w:hAnsi="Calibri" w:cs="Calibri"/>
                <w:sz w:val="20"/>
                <w:szCs w:val="20"/>
              </w:rPr>
              <w:t>planning prévisionnel d’occupation du CTA pour l’année civile en cours</w:t>
            </w:r>
          </w:p>
        </w:tc>
      </w:tr>
      <w:tr>
        <w:tc>
          <w:tcPr>
            <w:tcW w:w="1809" w:type="dxa"/>
          </w:tcPr>
          <w:p>
            <w:pPr>
              <w:spacing w:before="240" w:after="240"/>
              <w:jc w:val="both"/>
              <w:rPr>
                <w:rFonts w:ascii="Calibri" w:eastAsia="Calibri" w:hAnsi="Calibri" w:cs="Calibri"/>
                <w:b/>
                <w:sz w:val="20"/>
                <w:szCs w:val="20"/>
                <w:u w:val="single"/>
              </w:rPr>
            </w:pPr>
            <w:r>
              <w:rPr>
                <w:rFonts w:ascii="Calibri" w:eastAsia="Calibri" w:hAnsi="Calibri" w:cs="Calibri"/>
                <w:b/>
                <w:sz w:val="20"/>
                <w:szCs w:val="20"/>
              </w:rPr>
              <w:t>28 février</w:t>
            </w:r>
          </w:p>
        </w:tc>
        <w:tc>
          <w:tcPr>
            <w:tcW w:w="7053" w:type="dxa"/>
          </w:tcPr>
          <w:p>
            <w:pPr>
              <w:spacing w:before="240" w:after="240"/>
              <w:jc w:val="both"/>
              <w:rPr>
                <w:rFonts w:ascii="Calibri" w:eastAsia="Calibri" w:hAnsi="Calibri" w:cs="Calibri"/>
                <w:b/>
                <w:sz w:val="20"/>
                <w:szCs w:val="20"/>
                <w:u w:val="single"/>
              </w:rPr>
            </w:pPr>
            <w:r>
              <w:rPr>
                <w:rFonts w:ascii="Calibri" w:eastAsia="Calibri" w:hAnsi="Calibri" w:cs="Calibri"/>
                <w:sz w:val="20"/>
                <w:szCs w:val="20"/>
              </w:rPr>
              <w:t>envoi par l’administration de la partie quantitative du rapport d’activités</w:t>
            </w:r>
          </w:p>
        </w:tc>
      </w:tr>
      <w:tr>
        <w:tc>
          <w:tcPr>
            <w:tcW w:w="1809" w:type="dxa"/>
          </w:tcPr>
          <w:p>
            <w:pPr>
              <w:spacing w:before="240" w:after="240"/>
              <w:jc w:val="both"/>
              <w:rPr>
                <w:rFonts w:ascii="Calibri" w:eastAsia="Calibri" w:hAnsi="Calibri" w:cs="Calibri"/>
                <w:b/>
                <w:sz w:val="20"/>
                <w:szCs w:val="20"/>
                <w:u w:val="single"/>
              </w:rPr>
            </w:pPr>
            <w:r>
              <w:rPr>
                <w:rFonts w:ascii="Calibri" w:eastAsia="Calibri" w:hAnsi="Calibri" w:cs="Calibri"/>
                <w:b/>
                <w:sz w:val="20"/>
                <w:szCs w:val="20"/>
              </w:rPr>
              <w:t>31 mars</w:t>
            </w:r>
          </w:p>
        </w:tc>
        <w:tc>
          <w:tcPr>
            <w:tcW w:w="7053" w:type="dxa"/>
          </w:tcPr>
          <w:p>
            <w:pPr>
              <w:numPr>
                <w:ilvl w:val="0"/>
                <w:numId w:val="49"/>
              </w:numPr>
              <w:spacing w:before="240" w:after="240"/>
              <w:ind w:left="317"/>
              <w:jc w:val="both"/>
              <w:rPr>
                <w:rFonts w:ascii="Calibri" w:eastAsia="Calibri" w:hAnsi="Calibri" w:cs="Calibri"/>
                <w:sz w:val="20"/>
                <w:szCs w:val="20"/>
              </w:rPr>
            </w:pPr>
            <w:r>
              <w:rPr>
                <w:rFonts w:ascii="Calibri" w:eastAsia="Calibri" w:hAnsi="Calibri" w:cs="Calibri"/>
                <w:sz w:val="20"/>
                <w:szCs w:val="20"/>
              </w:rPr>
              <w:t xml:space="preserve">date limite d’envoi de l’ensemble du rapport d’activité (partie quantitative </w:t>
            </w:r>
            <w:r>
              <w:rPr>
                <w:rFonts w:ascii="Calibri" w:eastAsia="Calibri" w:hAnsi="Calibri" w:cs="Calibri"/>
                <w:b/>
                <w:sz w:val="20"/>
                <w:szCs w:val="20"/>
                <w:u w:val="single"/>
              </w:rPr>
              <w:t>et</w:t>
            </w:r>
            <w:r>
              <w:rPr>
                <w:rFonts w:ascii="Calibri" w:eastAsia="Calibri" w:hAnsi="Calibri" w:cs="Calibri"/>
                <w:sz w:val="20"/>
                <w:szCs w:val="20"/>
              </w:rPr>
              <w:t xml:space="preserve"> partie qualitative) approuvé par le Comité d’accompagnement</w:t>
            </w:r>
          </w:p>
          <w:p>
            <w:pPr>
              <w:numPr>
                <w:ilvl w:val="0"/>
                <w:numId w:val="49"/>
              </w:numPr>
              <w:spacing w:before="240" w:after="240"/>
              <w:ind w:left="317"/>
              <w:jc w:val="both"/>
              <w:rPr>
                <w:rFonts w:ascii="Calibri" w:eastAsia="Calibri" w:hAnsi="Calibri" w:cs="Calibri"/>
                <w:b/>
                <w:sz w:val="20"/>
                <w:szCs w:val="20"/>
                <w:u w:val="single"/>
              </w:rPr>
            </w:pPr>
            <w:r>
              <w:rPr>
                <w:rFonts w:ascii="Calibri" w:eastAsia="Calibri" w:hAnsi="Calibri" w:cs="Calibri"/>
                <w:sz w:val="20"/>
                <w:szCs w:val="20"/>
              </w:rPr>
              <w:t>envoi d’un exemplaire de tous les supports de publicité réalisés durant l’année civile écoulée</w:t>
            </w:r>
          </w:p>
        </w:tc>
      </w:tr>
      <w:tr>
        <w:tc>
          <w:tcPr>
            <w:tcW w:w="1809" w:type="dxa"/>
          </w:tcPr>
          <w:p>
            <w:pPr>
              <w:spacing w:before="240" w:after="240"/>
              <w:jc w:val="both"/>
              <w:rPr>
                <w:rFonts w:ascii="Calibri" w:eastAsia="Calibri" w:hAnsi="Calibri" w:cs="Calibri"/>
                <w:b/>
                <w:sz w:val="20"/>
                <w:szCs w:val="20"/>
                <w:u w:val="single"/>
              </w:rPr>
            </w:pPr>
            <w:r>
              <w:rPr>
                <w:rFonts w:ascii="Calibri" w:eastAsia="Calibri" w:hAnsi="Calibri" w:cs="Calibri"/>
                <w:b/>
                <w:sz w:val="20"/>
                <w:szCs w:val="20"/>
              </w:rPr>
              <w:t>1</w:t>
            </w:r>
            <w:r>
              <w:rPr>
                <w:rFonts w:ascii="Calibri" w:eastAsia="Calibri" w:hAnsi="Calibri" w:cs="Calibri"/>
                <w:b/>
                <w:sz w:val="20"/>
                <w:szCs w:val="20"/>
                <w:vertAlign w:val="superscript"/>
              </w:rPr>
              <w:t>er</w:t>
            </w:r>
            <w:r>
              <w:rPr>
                <w:rFonts w:ascii="Calibri" w:eastAsia="Calibri" w:hAnsi="Calibri" w:cs="Calibri"/>
                <w:b/>
                <w:sz w:val="20"/>
                <w:szCs w:val="20"/>
              </w:rPr>
              <w:t xml:space="preserve"> octobre</w:t>
            </w:r>
          </w:p>
        </w:tc>
        <w:tc>
          <w:tcPr>
            <w:tcW w:w="7053" w:type="dxa"/>
          </w:tcPr>
          <w:p>
            <w:pPr>
              <w:spacing w:before="240" w:after="240"/>
              <w:jc w:val="both"/>
              <w:rPr>
                <w:rFonts w:ascii="Calibri" w:eastAsia="Calibri" w:hAnsi="Calibri" w:cs="Calibri"/>
                <w:b/>
                <w:sz w:val="20"/>
                <w:szCs w:val="20"/>
                <w:u w:val="single"/>
              </w:rPr>
            </w:pPr>
            <w:r>
              <w:rPr>
                <w:rFonts w:ascii="Calibri" w:eastAsia="Calibri" w:hAnsi="Calibri" w:cs="Calibri"/>
                <w:sz w:val="20"/>
                <w:szCs w:val="20"/>
              </w:rPr>
              <w:t>planning prévisionnel d’occupation du CTA pour l’année civile suivante</w:t>
            </w:r>
          </w:p>
        </w:tc>
      </w:tr>
      <w:tr>
        <w:tc>
          <w:tcPr>
            <w:tcW w:w="1809" w:type="dxa"/>
          </w:tcPr>
          <w:p>
            <w:pPr>
              <w:spacing w:before="240" w:after="240"/>
              <w:jc w:val="both"/>
              <w:rPr>
                <w:rFonts w:ascii="Calibri" w:eastAsia="Calibri" w:hAnsi="Calibri" w:cs="Calibri"/>
                <w:b/>
                <w:sz w:val="20"/>
                <w:szCs w:val="20"/>
              </w:rPr>
            </w:pPr>
            <w:r>
              <w:rPr>
                <w:rFonts w:ascii="Calibri" w:eastAsia="Calibri" w:hAnsi="Calibri" w:cs="Calibri"/>
                <w:b/>
                <w:sz w:val="20"/>
                <w:szCs w:val="20"/>
              </w:rPr>
              <w:lastRenderedPageBreak/>
              <w:t>30 novembre</w:t>
            </w:r>
          </w:p>
        </w:tc>
        <w:tc>
          <w:tcPr>
            <w:tcW w:w="7053" w:type="dxa"/>
          </w:tcPr>
          <w:p>
            <w:pPr>
              <w:spacing w:before="240" w:after="240"/>
              <w:jc w:val="both"/>
              <w:rPr>
                <w:rFonts w:ascii="Calibri" w:eastAsia="Calibri" w:hAnsi="Calibri" w:cs="Calibri"/>
                <w:sz w:val="20"/>
                <w:szCs w:val="20"/>
              </w:rPr>
            </w:pPr>
            <w:r>
              <w:rPr>
                <w:rFonts w:ascii="Calibri" w:eastAsia="Calibri" w:hAnsi="Calibri" w:cs="Calibri"/>
                <w:sz w:val="20"/>
                <w:szCs w:val="20"/>
              </w:rPr>
              <w:t>Date limite d’introduction des demandes de prise en charges des frais de maintenance supportés au cours de l’année</w:t>
            </w:r>
          </w:p>
        </w:tc>
      </w:tr>
      <w:tr>
        <w:tc>
          <w:tcPr>
            <w:tcW w:w="1809" w:type="dxa"/>
          </w:tcPr>
          <w:p>
            <w:pPr>
              <w:spacing w:before="240" w:after="240"/>
              <w:jc w:val="both"/>
              <w:rPr>
                <w:rFonts w:ascii="Calibri" w:eastAsia="Calibri" w:hAnsi="Calibri" w:cs="Calibri"/>
                <w:b/>
                <w:sz w:val="20"/>
                <w:szCs w:val="20"/>
                <w:u w:val="single"/>
              </w:rPr>
            </w:pPr>
            <w:r>
              <w:rPr>
                <w:rFonts w:ascii="Calibri" w:eastAsia="Calibri" w:hAnsi="Calibri" w:cs="Calibri"/>
                <w:b/>
                <w:sz w:val="20"/>
                <w:szCs w:val="20"/>
                <w:u w:val="single"/>
              </w:rPr>
              <w:t>Régulièrement</w:t>
            </w:r>
          </w:p>
        </w:tc>
        <w:tc>
          <w:tcPr>
            <w:tcW w:w="7053" w:type="dxa"/>
          </w:tcPr>
          <w:p>
            <w:pPr>
              <w:spacing w:after="120"/>
              <w:jc w:val="both"/>
              <w:rPr>
                <w:rFonts w:ascii="Calibri" w:eastAsia="Calibri" w:hAnsi="Calibri" w:cs="Calibri"/>
                <w:b/>
                <w:sz w:val="20"/>
                <w:szCs w:val="20"/>
              </w:rPr>
            </w:pPr>
            <w:r>
              <w:rPr>
                <w:rFonts w:ascii="Calibri" w:eastAsia="Calibri" w:hAnsi="Calibri" w:cs="Calibri"/>
                <w:b/>
                <w:sz w:val="20"/>
                <w:szCs w:val="20"/>
              </w:rPr>
              <w:t>Envoi d’une copie numérique :</w:t>
            </w:r>
          </w:p>
          <w:p>
            <w:pPr>
              <w:numPr>
                <w:ilvl w:val="0"/>
                <w:numId w:val="22"/>
              </w:numPr>
              <w:tabs>
                <w:tab w:val="clear" w:pos="2160"/>
                <w:tab w:val="num" w:pos="720"/>
              </w:tabs>
              <w:ind w:left="714" w:hanging="357"/>
              <w:jc w:val="both"/>
              <w:rPr>
                <w:rFonts w:ascii="Calibri" w:eastAsia="Calibri" w:hAnsi="Calibri" w:cs="Calibri"/>
                <w:sz w:val="20"/>
                <w:szCs w:val="20"/>
              </w:rPr>
            </w:pPr>
            <w:r>
              <w:rPr>
                <w:rFonts w:ascii="Calibri" w:eastAsia="Calibri" w:hAnsi="Calibri" w:cs="Calibri"/>
                <w:sz w:val="20"/>
                <w:szCs w:val="20"/>
              </w:rPr>
              <w:t>des dossiers justificatifs des formations organisées,</w:t>
            </w:r>
          </w:p>
          <w:p>
            <w:pPr>
              <w:numPr>
                <w:ilvl w:val="0"/>
                <w:numId w:val="22"/>
              </w:numPr>
              <w:tabs>
                <w:tab w:val="clear" w:pos="2160"/>
                <w:tab w:val="num" w:pos="720"/>
              </w:tabs>
              <w:ind w:left="714" w:hanging="357"/>
              <w:jc w:val="both"/>
              <w:rPr>
                <w:rFonts w:ascii="Calibri" w:eastAsia="Calibri" w:hAnsi="Calibri" w:cs="Calibri"/>
                <w:sz w:val="20"/>
                <w:szCs w:val="20"/>
              </w:rPr>
            </w:pPr>
            <w:r>
              <w:rPr>
                <w:rFonts w:ascii="Calibri" w:eastAsia="Calibri" w:hAnsi="Calibri" w:cs="Calibri"/>
                <w:sz w:val="20"/>
                <w:szCs w:val="20"/>
              </w:rPr>
              <w:t>de toutes les conventions bilatérales générales signées,</w:t>
            </w:r>
          </w:p>
          <w:p>
            <w:pPr>
              <w:numPr>
                <w:ilvl w:val="0"/>
                <w:numId w:val="22"/>
              </w:numPr>
              <w:tabs>
                <w:tab w:val="clear" w:pos="2160"/>
                <w:tab w:val="num" w:pos="720"/>
              </w:tabs>
              <w:ind w:left="714" w:hanging="357"/>
              <w:jc w:val="both"/>
              <w:rPr>
                <w:rFonts w:ascii="Calibri" w:eastAsia="Calibri" w:hAnsi="Calibri" w:cs="Calibri"/>
                <w:b/>
                <w:sz w:val="20"/>
                <w:szCs w:val="20"/>
                <w:u w:val="single"/>
              </w:rPr>
            </w:pPr>
            <w:r>
              <w:rPr>
                <w:rFonts w:ascii="Calibri" w:eastAsia="Calibri" w:hAnsi="Calibri" w:cs="Calibri"/>
                <w:sz w:val="20"/>
                <w:szCs w:val="20"/>
              </w:rPr>
              <w:t>du PV de chaque réunion du Comité d’accompagnement,</w:t>
            </w:r>
          </w:p>
          <w:p>
            <w:pPr>
              <w:numPr>
                <w:ilvl w:val="0"/>
                <w:numId w:val="22"/>
              </w:numPr>
              <w:tabs>
                <w:tab w:val="clear" w:pos="2160"/>
                <w:tab w:val="num" w:pos="720"/>
              </w:tabs>
              <w:ind w:left="714" w:hanging="357"/>
              <w:jc w:val="both"/>
              <w:rPr>
                <w:rFonts w:ascii="Calibri" w:eastAsia="Calibri" w:hAnsi="Calibri" w:cs="Calibri"/>
                <w:b/>
                <w:sz w:val="20"/>
                <w:szCs w:val="20"/>
                <w:u w:val="single"/>
              </w:rPr>
            </w:pPr>
            <w:r>
              <w:rPr>
                <w:rFonts w:ascii="Calibri" w:eastAsia="Calibri" w:hAnsi="Calibri" w:cs="Calibri"/>
                <w:sz w:val="20"/>
                <w:szCs w:val="20"/>
              </w:rPr>
              <w:t>de tout changement dans la composition du Comité d’accompagnement,</w:t>
            </w:r>
          </w:p>
          <w:p>
            <w:pPr>
              <w:numPr>
                <w:ilvl w:val="0"/>
                <w:numId w:val="22"/>
              </w:numPr>
              <w:tabs>
                <w:tab w:val="clear" w:pos="2160"/>
                <w:tab w:val="num" w:pos="720"/>
              </w:tabs>
              <w:ind w:left="714" w:hanging="357"/>
              <w:jc w:val="both"/>
              <w:rPr>
                <w:rFonts w:ascii="Calibri" w:eastAsia="Calibri" w:hAnsi="Calibri" w:cs="Calibri"/>
                <w:b/>
                <w:sz w:val="20"/>
                <w:szCs w:val="20"/>
                <w:u w:val="single"/>
              </w:rPr>
            </w:pPr>
            <w:r>
              <w:rPr>
                <w:rFonts w:ascii="Calibri" w:eastAsia="Calibri" w:hAnsi="Calibri" w:cs="Calibri"/>
                <w:sz w:val="20"/>
                <w:szCs w:val="20"/>
              </w:rPr>
              <w:t>du règlement d’ordre intérieur et éventuellement, de toute modification du document.</w:t>
            </w:r>
          </w:p>
        </w:tc>
      </w:tr>
    </w:tbl>
    <w:p>
      <w:pPr>
        <w:numPr>
          <w:ilvl w:val="0"/>
          <w:numId w:val="2"/>
        </w:numPr>
        <w:tabs>
          <w:tab w:val="clear" w:pos="720"/>
          <w:tab w:val="num" w:pos="709"/>
        </w:tabs>
        <w:spacing w:before="360" w:after="360"/>
        <w:ind w:left="709" w:hanging="709"/>
        <w:jc w:val="both"/>
        <w:rPr>
          <w:rFonts w:ascii="Calibri" w:hAnsi="Calibri" w:cs="Calibri"/>
          <w:b/>
          <w:smallCaps/>
          <w:sz w:val="40"/>
          <w:szCs w:val="40"/>
          <w:u w:val="single"/>
        </w:rPr>
      </w:pPr>
      <w:r>
        <w:rPr>
          <w:rFonts w:ascii="Calibri" w:hAnsi="Calibri" w:cs="Calibri"/>
          <w:b/>
          <w:smallCaps/>
          <w:sz w:val="40"/>
          <w:szCs w:val="40"/>
          <w:u w:val="single"/>
        </w:rPr>
        <w:t>Bases réglementaires</w:t>
      </w:r>
    </w:p>
    <w:p>
      <w:pPr>
        <w:spacing w:after="120"/>
        <w:jc w:val="both"/>
        <w:rPr>
          <w:rFonts w:ascii="Calibri" w:hAnsi="Calibri" w:cs="Calibri"/>
          <w:sz w:val="20"/>
          <w:szCs w:val="20"/>
        </w:rPr>
      </w:pPr>
      <w:r>
        <w:rPr>
          <w:rFonts w:ascii="Calibri" w:hAnsi="Calibri" w:cs="Calibri"/>
          <w:sz w:val="20"/>
          <w:szCs w:val="20"/>
        </w:rPr>
        <w:t>Les dispositifs des Centres de Technologies Avancées et du Fonds d’équipement sont réglementés par les textes suivants :</w:t>
      </w:r>
    </w:p>
    <w:p>
      <w:pPr>
        <w:numPr>
          <w:ilvl w:val="0"/>
          <w:numId w:val="43"/>
        </w:numPr>
        <w:spacing w:after="120"/>
        <w:jc w:val="both"/>
        <w:rPr>
          <w:rFonts w:ascii="Calibri" w:hAnsi="Calibri" w:cs="Calibri"/>
          <w:sz w:val="20"/>
          <w:szCs w:val="20"/>
        </w:rPr>
      </w:pPr>
      <w:r>
        <w:rPr>
          <w:rFonts w:ascii="Calibri" w:hAnsi="Calibri" w:cs="Calibri"/>
          <w:sz w:val="20"/>
          <w:szCs w:val="20"/>
        </w:rPr>
        <w:t>Décret du 11 avril 2014 garantissant l’équipement pédagogique de l’enseignement qualifiant et fixant l’organisation des Centres de Technologies Avancées ;</w:t>
      </w:r>
    </w:p>
    <w:p>
      <w:pPr>
        <w:numPr>
          <w:ilvl w:val="0"/>
          <w:numId w:val="43"/>
        </w:numPr>
        <w:spacing w:after="120"/>
        <w:jc w:val="both"/>
        <w:rPr>
          <w:rFonts w:ascii="Calibri" w:hAnsi="Calibri" w:cs="Calibri"/>
          <w:sz w:val="20"/>
          <w:szCs w:val="20"/>
        </w:rPr>
      </w:pPr>
      <w:r>
        <w:rPr>
          <w:rFonts w:ascii="Calibri" w:hAnsi="Calibri" w:cs="Calibri"/>
          <w:sz w:val="20"/>
          <w:szCs w:val="20"/>
        </w:rPr>
        <w:t>Accord de coopération conclu le 20 mars 2014 entre la Région wallonne et la Communauté française relatif à l’équipement mis à disposition dans le cadre de la refondation de l’enseignement qualifiant et à la collaboration entre les centres de technologies avancées et les centres de compétence ;</w:t>
      </w:r>
    </w:p>
    <w:p>
      <w:pPr>
        <w:numPr>
          <w:ilvl w:val="0"/>
          <w:numId w:val="43"/>
        </w:numPr>
        <w:spacing w:after="120"/>
        <w:jc w:val="both"/>
        <w:rPr>
          <w:rFonts w:ascii="Calibri" w:hAnsi="Calibri" w:cs="Calibri"/>
          <w:sz w:val="20"/>
          <w:szCs w:val="20"/>
        </w:rPr>
      </w:pPr>
      <w:r>
        <w:rPr>
          <w:rFonts w:ascii="Calibri" w:hAnsi="Calibri" w:cs="Calibri"/>
          <w:sz w:val="20"/>
          <w:szCs w:val="20"/>
        </w:rPr>
        <w:t>Accord de coopération conclu le 22 juin 2016 entre la Région de Bruxelles-Capitale, la Commission communautaire française et la Communauté française relatif à l’équipement mis à disposition dans le cadre de la refondation de l’enseignement qualifiant et à la collaboration entre les centres de technologies avancées et les centres de référence professionnelle.</w:t>
      </w:r>
    </w:p>
    <w:p>
      <w:pPr>
        <w:spacing w:before="240" w:after="240"/>
        <w:jc w:val="both"/>
        <w:rPr>
          <w:rFonts w:ascii="Calibri" w:hAnsi="Calibri" w:cs="Calibri"/>
          <w:sz w:val="22"/>
          <w:szCs w:val="22"/>
        </w:rPr>
      </w:pPr>
      <w:r>
        <w:rPr>
          <w:rFonts w:ascii="Calibri" w:hAnsi="Calibri" w:cs="Calibri"/>
          <w:sz w:val="22"/>
          <w:szCs w:val="22"/>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1</w:t>
      </w:r>
    </w:p>
    <w:p>
      <w:pPr>
        <w:spacing w:before="240" w:after="240"/>
        <w:jc w:val="center"/>
        <w:rPr>
          <w:rFonts w:ascii="Calibri" w:hAnsi="Calibri" w:cs="Calibri"/>
          <w:b/>
          <w:sz w:val="36"/>
          <w:szCs w:val="36"/>
        </w:rPr>
      </w:pPr>
      <w:r>
        <w:rPr>
          <w:rFonts w:ascii="Calibri" w:hAnsi="Calibri" w:cs="Calibri"/>
          <w:b/>
          <w:sz w:val="36"/>
          <w:szCs w:val="36"/>
        </w:rPr>
        <w:t>Modèle de règlement d’ordre intérieur du Comité d’accompagnement</w:t>
      </w:r>
    </w:p>
    <w:p>
      <w:pPr>
        <w:rPr>
          <w:rFonts w:ascii="Calibri" w:hAnsi="Calibri" w:cs="Calibri"/>
          <w:sz w:val="22"/>
          <w:szCs w:val="22"/>
        </w:rPr>
      </w:pPr>
      <w:r>
        <w:rPr>
          <w:rFonts w:ascii="Calibri" w:hAnsi="Calibri" w:cs="Calibri"/>
          <w:sz w:val="22"/>
          <w:szCs w:val="22"/>
        </w:rPr>
        <w:br w:type="page"/>
      </w:r>
    </w:p>
    <w:p>
      <w:pPr>
        <w:spacing w:after="120"/>
        <w:jc w:val="center"/>
        <w:rPr>
          <w:rFonts w:ascii="Calibri" w:hAnsi="Calibri" w:cs="Calibri"/>
          <w:b/>
          <w:sz w:val="32"/>
          <w:szCs w:val="32"/>
          <w:u w:val="single"/>
        </w:rPr>
      </w:pPr>
      <w:r>
        <w:rPr>
          <w:rFonts w:ascii="Calibri" w:hAnsi="Calibri" w:cs="Calibri"/>
          <w:b/>
          <w:sz w:val="32"/>
          <w:szCs w:val="32"/>
          <w:u w:val="single"/>
        </w:rPr>
        <w:lastRenderedPageBreak/>
        <w:t>Comité d’accompagnement du CTA</w:t>
      </w:r>
    </w:p>
    <w:p>
      <w:pPr>
        <w:spacing w:after="120"/>
        <w:jc w:val="center"/>
        <w:rPr>
          <w:rFonts w:ascii="Calibri" w:hAnsi="Calibri" w:cs="Calibri"/>
          <w:b/>
          <w:sz w:val="32"/>
          <w:szCs w:val="32"/>
          <w:u w:val="single"/>
        </w:rPr>
      </w:pPr>
      <w:r>
        <w:rPr>
          <w:rFonts w:ascii="Calibri" w:hAnsi="Calibri" w:cs="Calibri"/>
          <w:b/>
          <w:sz w:val="32"/>
          <w:szCs w:val="32"/>
          <w:u w:val="single"/>
        </w:rPr>
        <w:t>Règlement d’ordre intérieur</w:t>
      </w:r>
    </w:p>
    <w:p>
      <w:pPr>
        <w:spacing w:before="240" w:after="240"/>
        <w:jc w:val="both"/>
        <w:rPr>
          <w:rFonts w:ascii="Calibri" w:hAnsi="Calibri" w:cs="Calibri"/>
          <w:b/>
        </w:rPr>
      </w:pPr>
      <w:r>
        <w:rPr>
          <w:rFonts w:ascii="Calibri" w:hAnsi="Calibri" w:cs="Calibri"/>
          <w:b/>
        </w:rPr>
        <w:t>Section 1</w:t>
      </w:r>
      <w:r>
        <w:rPr>
          <w:rFonts w:ascii="Calibri" w:hAnsi="Calibri" w:cs="Calibri"/>
          <w:b/>
          <w:vertAlign w:val="superscript"/>
        </w:rPr>
        <w:t>ère</w:t>
      </w:r>
      <w:r>
        <w:rPr>
          <w:rFonts w:ascii="Calibri" w:hAnsi="Calibri" w:cs="Calibri"/>
          <w:b/>
        </w:rPr>
        <w:t xml:space="preserve"> – Dispositions générales</w:t>
      </w:r>
    </w:p>
    <w:p>
      <w:pPr>
        <w:spacing w:after="120"/>
        <w:jc w:val="both"/>
        <w:rPr>
          <w:rFonts w:ascii="Calibri" w:hAnsi="Calibri" w:cs="Calibri"/>
          <w:sz w:val="20"/>
          <w:szCs w:val="20"/>
        </w:rPr>
      </w:pPr>
      <w:r>
        <w:rPr>
          <w:rFonts w:ascii="Calibri" w:hAnsi="Calibri" w:cs="Calibri"/>
          <w:b/>
          <w:sz w:val="20"/>
          <w:szCs w:val="20"/>
        </w:rPr>
        <w:t>Article 1</w:t>
      </w:r>
      <w:r>
        <w:rPr>
          <w:rFonts w:ascii="Calibri" w:hAnsi="Calibri" w:cs="Calibri"/>
          <w:b/>
          <w:sz w:val="20"/>
          <w:szCs w:val="20"/>
          <w:vertAlign w:val="superscript"/>
        </w:rPr>
        <w:t>er</w:t>
      </w:r>
      <w:r>
        <w:rPr>
          <w:rFonts w:ascii="Calibri" w:hAnsi="Calibri" w:cs="Calibri"/>
          <w:sz w:val="20"/>
          <w:szCs w:val="20"/>
        </w:rPr>
        <w:t xml:space="preserve"> – Les activités du Comité d’accompagnement sont régies par le présent règlement d’ordre intérieur.</w:t>
      </w:r>
    </w:p>
    <w:p>
      <w:pPr>
        <w:spacing w:after="120"/>
        <w:jc w:val="both"/>
        <w:rPr>
          <w:rFonts w:ascii="Calibri" w:hAnsi="Calibri" w:cs="Calibri"/>
          <w:sz w:val="20"/>
          <w:szCs w:val="20"/>
        </w:rPr>
      </w:pPr>
      <w:r>
        <w:rPr>
          <w:rFonts w:ascii="Calibri" w:hAnsi="Calibri" w:cs="Calibri"/>
          <w:b/>
          <w:sz w:val="20"/>
          <w:szCs w:val="20"/>
        </w:rPr>
        <w:t>Article 2</w:t>
      </w:r>
      <w:r>
        <w:rPr>
          <w:rFonts w:ascii="Calibri" w:hAnsi="Calibri" w:cs="Calibri"/>
          <w:sz w:val="20"/>
          <w:szCs w:val="20"/>
        </w:rPr>
        <w:t xml:space="preserve"> – Le but poursuivi par le Comité est d’assurer la mise en œuvre et le bon fonctionnement du CTA.</w:t>
      </w:r>
    </w:p>
    <w:p>
      <w:pPr>
        <w:spacing w:after="120"/>
        <w:jc w:val="both"/>
        <w:rPr>
          <w:rFonts w:ascii="Calibri" w:hAnsi="Calibri" w:cs="Calibri"/>
          <w:sz w:val="20"/>
          <w:szCs w:val="20"/>
        </w:rPr>
      </w:pPr>
      <w:r>
        <w:rPr>
          <w:rFonts w:ascii="Calibri" w:hAnsi="Calibri" w:cs="Calibri"/>
          <w:b/>
          <w:sz w:val="20"/>
          <w:szCs w:val="20"/>
        </w:rPr>
        <w:t>Article 3</w:t>
      </w:r>
      <w:r>
        <w:rPr>
          <w:rFonts w:ascii="Calibri" w:hAnsi="Calibri" w:cs="Calibri"/>
          <w:sz w:val="20"/>
          <w:szCs w:val="20"/>
        </w:rPr>
        <w:t xml:space="preserve"> – Le Comité est institué à l’initiative du chef de l’établissement qui accueille le CTA en concertation avec la Direction générale de l’enseignement obligatoire. Il doit avoir été réuni au moins une fois avant les premières dépenses en équipement réalisées par la CTA.</w:t>
      </w:r>
    </w:p>
    <w:p>
      <w:pPr>
        <w:spacing w:after="120"/>
        <w:jc w:val="both"/>
        <w:rPr>
          <w:rFonts w:ascii="Calibri" w:hAnsi="Calibri" w:cs="Calibri"/>
          <w:sz w:val="20"/>
          <w:szCs w:val="20"/>
        </w:rPr>
      </w:pPr>
      <w:r>
        <w:rPr>
          <w:rFonts w:ascii="Calibri" w:hAnsi="Calibri" w:cs="Calibri"/>
          <w:b/>
          <w:sz w:val="20"/>
          <w:szCs w:val="20"/>
        </w:rPr>
        <w:t>Article 4</w:t>
      </w:r>
      <w:r>
        <w:rPr>
          <w:rFonts w:ascii="Calibri" w:hAnsi="Calibri" w:cs="Calibri"/>
          <w:sz w:val="20"/>
          <w:szCs w:val="20"/>
        </w:rPr>
        <w:t xml:space="preserve"> – Les membres du Comité d’accompagnement sont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 chef de l’établissement qui accueille le CTA. Celui-ci en assure la présidence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 représentant du Conseil de zone confessionnel concerné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 représentant du Conseil de zone non-confessionnel concerné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 représentant de la Direction générale de l’enseignement obligatoire du Ministère de la Fédération Wallonie-Bruxelles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 représentant du Service général de l’Inspection du Ministère de la Fédération Wallonie-Bruxelles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 coordonnateur du CTA, qui assure le secrétariat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 représentant du Ministre ayant l’enseignement obligatoire dans ses attributions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 représentant de la Chambre Emploi-Formation du Bassin EFE concerné;</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Le(s) représentant(s) du ou des secteurs professionnels concernés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 représentant du FOREM ou de Bruxelles-Formation selon la Région concernée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 représentant du ou des CDC et/ou CDR concernés.</w:t>
      </w:r>
    </w:p>
    <w:p>
      <w:pPr>
        <w:spacing w:after="120"/>
        <w:jc w:val="both"/>
        <w:rPr>
          <w:rFonts w:ascii="Calibri" w:hAnsi="Calibri" w:cs="Calibri"/>
          <w:sz w:val="20"/>
          <w:szCs w:val="20"/>
        </w:rPr>
      </w:pPr>
      <w:r>
        <w:rPr>
          <w:rFonts w:ascii="Calibri" w:hAnsi="Calibri" w:cs="Calibri"/>
          <w:sz w:val="20"/>
          <w:szCs w:val="20"/>
        </w:rPr>
        <w:t>Chaque membre repris ci-dessus dispose d’une voix délibérative.</w:t>
      </w:r>
    </w:p>
    <w:p>
      <w:pPr>
        <w:spacing w:after="120"/>
        <w:jc w:val="both"/>
        <w:rPr>
          <w:rFonts w:ascii="Calibri" w:hAnsi="Calibri" w:cs="Calibri"/>
          <w:sz w:val="20"/>
          <w:szCs w:val="20"/>
        </w:rPr>
      </w:pPr>
      <w:r>
        <w:rPr>
          <w:rFonts w:ascii="Calibri" w:hAnsi="Calibri" w:cs="Calibri"/>
          <w:b/>
          <w:sz w:val="20"/>
          <w:szCs w:val="20"/>
        </w:rPr>
        <w:t>Article 5</w:t>
      </w:r>
      <w:r>
        <w:rPr>
          <w:rFonts w:ascii="Calibri" w:hAnsi="Calibri" w:cs="Calibri"/>
          <w:sz w:val="20"/>
          <w:szCs w:val="20"/>
        </w:rPr>
        <w:t xml:space="preserve"> – Outre les membres décrits ci-dessus, le président peut inviter à participer aux réunions toute personne dont il estime l’avis nécessaire et pertinent.</w:t>
      </w:r>
    </w:p>
    <w:p>
      <w:pPr>
        <w:spacing w:after="120"/>
        <w:jc w:val="both"/>
        <w:rPr>
          <w:rFonts w:ascii="Calibri" w:hAnsi="Calibri" w:cs="Calibri"/>
          <w:sz w:val="20"/>
          <w:szCs w:val="20"/>
        </w:rPr>
      </w:pPr>
      <w:r>
        <w:rPr>
          <w:rFonts w:ascii="Calibri" w:hAnsi="Calibri" w:cs="Calibri"/>
          <w:sz w:val="20"/>
          <w:szCs w:val="20"/>
        </w:rPr>
        <w:t>Ainsi, les formateurs attachés aux CTA étant financés par le Fonds social européen via les opérateurs de formation continue Formation en cours de carrière des enseignants du secondaire de l’enseignement non confessionnel (FCC) et Association pour la promotion de la formation en cours de carrière dans l’enseignement confessionnel (FORCAR), un représentant de l’association concernée peut être invité à participer aux réunions du comité.</w:t>
      </w:r>
    </w:p>
    <w:p>
      <w:pPr>
        <w:spacing w:after="120"/>
        <w:jc w:val="both"/>
        <w:rPr>
          <w:rFonts w:ascii="Calibri" w:hAnsi="Calibri" w:cs="Calibri"/>
          <w:sz w:val="20"/>
          <w:szCs w:val="20"/>
        </w:rPr>
      </w:pPr>
      <w:r>
        <w:rPr>
          <w:rFonts w:ascii="Calibri" w:hAnsi="Calibri" w:cs="Calibri"/>
          <w:sz w:val="20"/>
          <w:szCs w:val="20"/>
        </w:rPr>
        <w:t>Le Comité peut également convoquer des experts à la réunion pour autant qu’il estime que l’expertise de ces spécialistes peut apporter une plus-value à la discussion.</w:t>
      </w:r>
    </w:p>
    <w:p>
      <w:pPr>
        <w:spacing w:after="120"/>
        <w:jc w:val="both"/>
        <w:rPr>
          <w:rFonts w:ascii="Calibri" w:hAnsi="Calibri" w:cs="Calibri"/>
          <w:sz w:val="20"/>
          <w:szCs w:val="20"/>
        </w:rPr>
      </w:pPr>
      <w:r>
        <w:rPr>
          <w:rFonts w:ascii="Calibri" w:hAnsi="Calibri" w:cs="Calibri"/>
          <w:b/>
          <w:sz w:val="20"/>
          <w:szCs w:val="20"/>
        </w:rPr>
        <w:t>Article 6</w:t>
      </w:r>
      <w:r>
        <w:rPr>
          <w:rFonts w:ascii="Calibri" w:hAnsi="Calibri" w:cs="Calibri"/>
          <w:sz w:val="20"/>
          <w:szCs w:val="20"/>
        </w:rPr>
        <w:t xml:space="preserve"> – Le Comité a pour tâche principale :</w:t>
      </w:r>
    </w:p>
    <w:p>
      <w:pPr>
        <w:pStyle w:val="Paragraphedeliste"/>
        <w:numPr>
          <w:ilvl w:val="0"/>
          <w:numId w:val="89"/>
        </w:numPr>
        <w:spacing w:after="120"/>
        <w:jc w:val="both"/>
        <w:rPr>
          <w:rFonts w:ascii="Calibri" w:hAnsi="Calibri" w:cs="Calibri"/>
          <w:sz w:val="20"/>
          <w:szCs w:val="20"/>
        </w:rPr>
      </w:pPr>
      <w:r>
        <w:rPr>
          <w:rFonts w:ascii="Calibri" w:hAnsi="Calibri" w:cs="Calibri"/>
          <w:sz w:val="20"/>
          <w:szCs w:val="20"/>
        </w:rPr>
        <w:t>de respecter les critères d’éligibilité et de priorité des CTA tels que fixés à l’article 5 du Décret de la Communauté française du 11 avril 2014 garantissant l’équipement pédagogique de l’enseignement qualifiant et fixant l’organisation des Centres de technologies Avancées ;</w:t>
      </w:r>
    </w:p>
    <w:p>
      <w:pPr>
        <w:pStyle w:val="Paragraphedeliste"/>
        <w:numPr>
          <w:ilvl w:val="0"/>
          <w:numId w:val="89"/>
        </w:numPr>
        <w:spacing w:after="120"/>
        <w:jc w:val="both"/>
        <w:rPr>
          <w:rFonts w:ascii="Calibri" w:hAnsi="Calibri" w:cs="Calibri"/>
          <w:sz w:val="20"/>
          <w:szCs w:val="20"/>
        </w:rPr>
      </w:pPr>
      <w:r>
        <w:rPr>
          <w:rFonts w:ascii="Calibri" w:hAnsi="Calibri" w:cs="Calibri"/>
          <w:sz w:val="20"/>
          <w:szCs w:val="20"/>
        </w:rPr>
        <w:t>de veiller au respect des objectifs définis à l’article 6, § 2 et 3 du décret du 11 avril 2014 en terme de nombre d’heures de formation à dispenser, de nombre d’étudiants, d’enseignants, de travailleurs et de demandeurs d’emploi à accueillir, etc.</w:t>
      </w:r>
    </w:p>
    <w:p>
      <w:pPr>
        <w:pStyle w:val="Paragraphedeliste"/>
        <w:numPr>
          <w:ilvl w:val="0"/>
          <w:numId w:val="89"/>
        </w:numPr>
        <w:spacing w:after="120"/>
        <w:jc w:val="both"/>
        <w:rPr>
          <w:rFonts w:ascii="Calibri" w:hAnsi="Calibri" w:cs="Calibri"/>
          <w:sz w:val="20"/>
          <w:szCs w:val="20"/>
        </w:rPr>
      </w:pPr>
      <w:r>
        <w:rPr>
          <w:rFonts w:ascii="Calibri" w:hAnsi="Calibri" w:cs="Calibri"/>
          <w:sz w:val="20"/>
          <w:szCs w:val="20"/>
        </w:rPr>
        <w:t>d’évaluer les progrès réalisés afin d’atteindre les objectifs fixés et l’examen des résultats ;</w:t>
      </w:r>
    </w:p>
    <w:p>
      <w:pPr>
        <w:pStyle w:val="Paragraphedeliste"/>
        <w:numPr>
          <w:ilvl w:val="0"/>
          <w:numId w:val="89"/>
        </w:numPr>
        <w:spacing w:after="120"/>
        <w:jc w:val="both"/>
        <w:rPr>
          <w:rFonts w:ascii="Calibri" w:hAnsi="Calibri" w:cs="Calibri"/>
          <w:sz w:val="20"/>
          <w:szCs w:val="20"/>
        </w:rPr>
      </w:pPr>
      <w:r>
        <w:rPr>
          <w:rFonts w:ascii="Calibri" w:hAnsi="Calibri" w:cs="Calibri"/>
          <w:sz w:val="20"/>
          <w:szCs w:val="20"/>
        </w:rPr>
        <w:t>d’analyser et d’approuver les rapports annuels d’activités à transmettre à la Direction générale de l’enseignement obligatoire ;</w:t>
      </w:r>
      <w:r>
        <w:rPr>
          <w:rFonts w:ascii="Calibri" w:hAnsi="Calibri" w:cs="Calibri"/>
          <w:sz w:val="20"/>
          <w:szCs w:val="20"/>
        </w:rPr>
        <w:br w:type="page"/>
      </w:r>
    </w:p>
    <w:p>
      <w:pPr>
        <w:pStyle w:val="Paragraphedeliste"/>
        <w:numPr>
          <w:ilvl w:val="0"/>
          <w:numId w:val="89"/>
        </w:numPr>
        <w:spacing w:after="120"/>
        <w:jc w:val="both"/>
        <w:rPr>
          <w:rFonts w:ascii="Calibri" w:hAnsi="Calibri" w:cs="Calibri"/>
          <w:sz w:val="20"/>
          <w:szCs w:val="20"/>
        </w:rPr>
      </w:pPr>
      <w:r>
        <w:rPr>
          <w:rFonts w:ascii="Calibri" w:hAnsi="Calibri" w:cs="Calibri"/>
          <w:sz w:val="20"/>
          <w:szCs w:val="20"/>
        </w:rPr>
        <w:lastRenderedPageBreak/>
        <w:t>dans le cadre du cahier des charges approuvé par la Gouvernement de la Communauté française, de se concerter sur les équipements pédagogiques à acquérir par le CTA ;</w:t>
      </w:r>
    </w:p>
    <w:p>
      <w:pPr>
        <w:pStyle w:val="Paragraphedeliste"/>
        <w:numPr>
          <w:ilvl w:val="0"/>
          <w:numId w:val="89"/>
        </w:numPr>
        <w:spacing w:after="120"/>
        <w:jc w:val="both"/>
        <w:rPr>
          <w:rFonts w:ascii="Calibri" w:hAnsi="Calibri" w:cs="Calibri"/>
          <w:sz w:val="20"/>
          <w:szCs w:val="20"/>
        </w:rPr>
      </w:pPr>
      <w:r>
        <w:rPr>
          <w:rFonts w:ascii="Calibri" w:hAnsi="Calibri" w:cs="Calibri"/>
          <w:sz w:val="20"/>
          <w:szCs w:val="20"/>
        </w:rPr>
        <w:t>de se concerter sur le programme de formation proposé par le CTA ;</w:t>
      </w:r>
    </w:p>
    <w:p>
      <w:pPr>
        <w:pStyle w:val="Paragraphedeliste"/>
        <w:numPr>
          <w:ilvl w:val="0"/>
          <w:numId w:val="89"/>
        </w:numPr>
        <w:spacing w:after="120"/>
        <w:jc w:val="both"/>
        <w:rPr>
          <w:rFonts w:ascii="Calibri" w:hAnsi="Calibri" w:cs="Calibri"/>
          <w:sz w:val="20"/>
          <w:szCs w:val="20"/>
        </w:rPr>
      </w:pPr>
      <w:r>
        <w:rPr>
          <w:rFonts w:ascii="Calibri" w:hAnsi="Calibri" w:cs="Calibri"/>
          <w:sz w:val="20"/>
          <w:szCs w:val="20"/>
        </w:rPr>
        <w:t>d’organiser et de gérer la collaboration entre le CTA et les Centres de compétences ou de référence professionnelle associés (en terme de formation, de veille sur les métiers, d’action de sensibilisation au secteur, etc.) ;</w:t>
      </w:r>
    </w:p>
    <w:p>
      <w:pPr>
        <w:pStyle w:val="Paragraphedeliste"/>
        <w:numPr>
          <w:ilvl w:val="0"/>
          <w:numId w:val="89"/>
        </w:numPr>
        <w:spacing w:after="120"/>
        <w:jc w:val="both"/>
        <w:rPr>
          <w:rFonts w:ascii="Calibri" w:hAnsi="Calibri" w:cs="Calibri"/>
          <w:sz w:val="20"/>
          <w:szCs w:val="20"/>
        </w:rPr>
      </w:pPr>
      <w:r>
        <w:rPr>
          <w:rFonts w:ascii="Calibri" w:hAnsi="Calibri" w:cs="Calibri"/>
          <w:sz w:val="20"/>
          <w:szCs w:val="20"/>
        </w:rPr>
        <w:t>d’identifier et de résoudre tout problème éventuel apparaissant dans la gestion du centre.</w:t>
      </w:r>
    </w:p>
    <w:p>
      <w:pPr>
        <w:spacing w:before="240" w:after="240"/>
        <w:jc w:val="both"/>
        <w:rPr>
          <w:rFonts w:ascii="Calibri" w:hAnsi="Calibri" w:cs="Calibri"/>
          <w:b/>
        </w:rPr>
      </w:pPr>
      <w:r>
        <w:rPr>
          <w:rFonts w:ascii="Calibri" w:hAnsi="Calibri" w:cs="Calibri"/>
          <w:b/>
        </w:rPr>
        <w:t>Section 2 – Présidence du Comité</w:t>
      </w:r>
    </w:p>
    <w:p>
      <w:pPr>
        <w:spacing w:after="120"/>
        <w:jc w:val="both"/>
        <w:rPr>
          <w:rFonts w:ascii="Calibri" w:hAnsi="Calibri" w:cs="Calibri"/>
          <w:sz w:val="20"/>
          <w:szCs w:val="20"/>
        </w:rPr>
      </w:pPr>
      <w:r>
        <w:rPr>
          <w:rFonts w:ascii="Calibri" w:hAnsi="Calibri" w:cs="Calibri"/>
          <w:b/>
          <w:sz w:val="20"/>
          <w:szCs w:val="20"/>
        </w:rPr>
        <w:t>Article 8</w:t>
      </w:r>
      <w:r>
        <w:rPr>
          <w:rFonts w:ascii="Calibri" w:hAnsi="Calibri" w:cs="Calibri"/>
          <w:sz w:val="20"/>
          <w:szCs w:val="20"/>
        </w:rPr>
        <w:t xml:space="preserve"> – Le Comité est présidé par le chef de l’établissement qui accueille le CTA.</w:t>
      </w:r>
    </w:p>
    <w:p>
      <w:pPr>
        <w:spacing w:after="120"/>
        <w:jc w:val="both"/>
        <w:rPr>
          <w:rFonts w:ascii="Calibri" w:hAnsi="Calibri" w:cs="Calibri"/>
          <w:sz w:val="20"/>
          <w:szCs w:val="20"/>
        </w:rPr>
      </w:pPr>
      <w:r>
        <w:rPr>
          <w:rFonts w:ascii="Calibri" w:hAnsi="Calibri" w:cs="Calibri"/>
          <w:b/>
          <w:sz w:val="20"/>
          <w:szCs w:val="20"/>
        </w:rPr>
        <w:t>Article 9</w:t>
      </w:r>
      <w:r>
        <w:rPr>
          <w:rFonts w:ascii="Calibri" w:hAnsi="Calibri" w:cs="Calibri"/>
          <w:sz w:val="20"/>
          <w:szCs w:val="20"/>
        </w:rPr>
        <w:t xml:space="preserve"> – Le président, assisté par le coordonnateur du CTA, assume les tâches suivantes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Proposition du règlement d’ordre intérieur lors de la première réunion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Préparation de l’ordre du jour des réunions du Comité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Convocation des réunions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Ouverture et clôture des réunions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Elaboration du rapport d’activités de l’année écoulée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Présentation de ce rapport au Comité pour approbation et communication à la Direction générale de l’enseignement obligatoire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Rédaction des procès-verbaux des réunions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Transmission à tous les membres du Comité du procès-verbal et, le cas échéant, du rapport d’activités modifié dans les 15 jours ouvrables qui suivent la tenue du Comité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Organisation d’une ou plusieurs réunions supplémentaires dans l’année si nécessaire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Police des réunions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Elaboration des propositions d’investissement en équipements ;</w:t>
      </w:r>
    </w:p>
    <w:p>
      <w:pPr>
        <w:pStyle w:val="Paragraphedeliste"/>
        <w:numPr>
          <w:ilvl w:val="0"/>
          <w:numId w:val="89"/>
        </w:numPr>
        <w:spacing w:after="120"/>
        <w:jc w:val="both"/>
        <w:rPr>
          <w:rFonts w:ascii="Calibri" w:hAnsi="Calibri" w:cs="Calibri"/>
          <w:sz w:val="20"/>
          <w:szCs w:val="20"/>
        </w:rPr>
      </w:pPr>
      <w:r>
        <w:rPr>
          <w:rFonts w:ascii="Calibri" w:hAnsi="Calibri" w:cs="Calibri"/>
          <w:sz w:val="20"/>
          <w:szCs w:val="20"/>
        </w:rPr>
        <w:t>Archivage de tous les documents relatifs au Comité.</w:t>
      </w:r>
    </w:p>
    <w:p>
      <w:pPr>
        <w:spacing w:after="120"/>
        <w:jc w:val="both"/>
        <w:rPr>
          <w:rFonts w:ascii="Calibri" w:hAnsi="Calibri" w:cs="Calibri"/>
          <w:sz w:val="20"/>
          <w:szCs w:val="20"/>
        </w:rPr>
      </w:pPr>
      <w:r>
        <w:rPr>
          <w:rFonts w:ascii="Calibri" w:hAnsi="Calibri" w:cs="Calibri"/>
          <w:b/>
          <w:sz w:val="20"/>
          <w:szCs w:val="20"/>
        </w:rPr>
        <w:t>Article 10</w:t>
      </w:r>
      <w:r>
        <w:rPr>
          <w:rFonts w:ascii="Calibri" w:hAnsi="Calibri" w:cs="Calibri"/>
          <w:sz w:val="20"/>
          <w:szCs w:val="20"/>
        </w:rPr>
        <w:t xml:space="preserve"> – En cas d’empêchement du président, celui-ci mandate un suppléant devant remplir toutes les tâches et missions dévolues au président, telles que décrites dans la section 2 du présent règlement d’ordre intérieur.</w:t>
      </w:r>
    </w:p>
    <w:p>
      <w:pPr>
        <w:spacing w:before="240" w:after="240"/>
        <w:jc w:val="both"/>
        <w:rPr>
          <w:rFonts w:ascii="Calibri" w:hAnsi="Calibri" w:cs="Calibri"/>
          <w:b/>
        </w:rPr>
      </w:pPr>
      <w:r>
        <w:rPr>
          <w:rFonts w:ascii="Calibri" w:hAnsi="Calibri" w:cs="Calibri"/>
          <w:b/>
        </w:rPr>
        <w:t>Section 3 – Réunions du Comité</w:t>
      </w:r>
    </w:p>
    <w:p>
      <w:pPr>
        <w:spacing w:after="120"/>
        <w:jc w:val="both"/>
        <w:rPr>
          <w:rFonts w:ascii="Calibri" w:hAnsi="Calibri" w:cs="Calibri"/>
          <w:sz w:val="20"/>
          <w:szCs w:val="20"/>
        </w:rPr>
      </w:pPr>
      <w:r>
        <w:rPr>
          <w:rFonts w:ascii="Calibri" w:hAnsi="Calibri" w:cs="Calibri"/>
          <w:b/>
          <w:sz w:val="20"/>
          <w:szCs w:val="20"/>
        </w:rPr>
        <w:t>Article 11</w:t>
      </w:r>
      <w:r>
        <w:rPr>
          <w:rFonts w:ascii="Calibri" w:hAnsi="Calibri" w:cs="Calibri"/>
          <w:sz w:val="20"/>
          <w:szCs w:val="20"/>
        </w:rPr>
        <w:t xml:space="preserve"> – Le Comité se réunit au moins deux fois par an.</w:t>
      </w:r>
    </w:p>
    <w:p>
      <w:pPr>
        <w:spacing w:after="120"/>
        <w:jc w:val="both"/>
        <w:rPr>
          <w:rFonts w:ascii="Calibri" w:hAnsi="Calibri" w:cs="Calibri"/>
          <w:sz w:val="20"/>
          <w:szCs w:val="20"/>
        </w:rPr>
      </w:pPr>
      <w:r>
        <w:rPr>
          <w:rFonts w:ascii="Calibri" w:hAnsi="Calibri" w:cs="Calibri"/>
          <w:b/>
          <w:sz w:val="20"/>
          <w:szCs w:val="20"/>
        </w:rPr>
        <w:t>Article 12</w:t>
      </w:r>
      <w:r>
        <w:rPr>
          <w:rFonts w:ascii="Calibri" w:hAnsi="Calibri" w:cs="Calibri"/>
          <w:sz w:val="20"/>
          <w:szCs w:val="20"/>
        </w:rPr>
        <w:t xml:space="preserve"> – La date et le lieu de réunion du Comité sont laissé à l’initiative du président.</w:t>
      </w:r>
    </w:p>
    <w:p>
      <w:pPr>
        <w:spacing w:after="120"/>
        <w:jc w:val="both"/>
        <w:rPr>
          <w:rFonts w:ascii="Calibri" w:hAnsi="Calibri" w:cs="Calibri"/>
          <w:sz w:val="20"/>
          <w:szCs w:val="20"/>
        </w:rPr>
      </w:pPr>
      <w:r>
        <w:rPr>
          <w:rFonts w:ascii="Calibri" w:hAnsi="Calibri" w:cs="Calibri"/>
          <w:b/>
          <w:sz w:val="20"/>
          <w:szCs w:val="20"/>
        </w:rPr>
        <w:t>Article 13</w:t>
      </w:r>
      <w:r>
        <w:rPr>
          <w:rFonts w:ascii="Calibri" w:hAnsi="Calibri" w:cs="Calibri"/>
          <w:sz w:val="20"/>
          <w:szCs w:val="20"/>
        </w:rPr>
        <w:t xml:space="preserve"> – Toutes les réunions sont convoquées et l’ordre du jour communiqué au moins 15 jours à l’avance par courrier électronique. Outre l’ordre du jour, la convocation contient obligatoirement la date et le lieu de la réunion ainsi que les documents nécessaires au déroulement de la réunion.</w:t>
      </w:r>
    </w:p>
    <w:p>
      <w:pPr>
        <w:spacing w:after="120"/>
        <w:jc w:val="both"/>
        <w:rPr>
          <w:rFonts w:ascii="Calibri" w:hAnsi="Calibri" w:cs="Calibri"/>
          <w:sz w:val="20"/>
          <w:szCs w:val="20"/>
        </w:rPr>
      </w:pPr>
      <w:r>
        <w:rPr>
          <w:rFonts w:ascii="Calibri" w:hAnsi="Calibri" w:cs="Calibri"/>
          <w:b/>
          <w:sz w:val="20"/>
          <w:szCs w:val="20"/>
        </w:rPr>
        <w:t>Article 14</w:t>
      </w:r>
      <w:r>
        <w:rPr>
          <w:rFonts w:ascii="Calibri" w:hAnsi="Calibri" w:cs="Calibri"/>
          <w:sz w:val="20"/>
          <w:szCs w:val="20"/>
        </w:rPr>
        <w:t xml:space="preserve"> – Tout membre du Comité qui ne peut assister à la réunion doit en informer immédiatement le président et son secrétariat.</w:t>
      </w:r>
    </w:p>
    <w:p>
      <w:pPr>
        <w:spacing w:after="120"/>
        <w:jc w:val="both"/>
        <w:rPr>
          <w:rFonts w:ascii="Calibri" w:hAnsi="Calibri" w:cs="Calibri"/>
          <w:sz w:val="20"/>
          <w:szCs w:val="20"/>
        </w:rPr>
      </w:pPr>
      <w:r>
        <w:rPr>
          <w:rFonts w:ascii="Calibri" w:hAnsi="Calibri" w:cs="Calibri"/>
          <w:b/>
          <w:sz w:val="20"/>
          <w:szCs w:val="20"/>
        </w:rPr>
        <w:t>Article 15</w:t>
      </w:r>
      <w:r>
        <w:rPr>
          <w:rFonts w:ascii="Calibri" w:hAnsi="Calibri" w:cs="Calibri"/>
          <w:sz w:val="20"/>
          <w:szCs w:val="20"/>
        </w:rPr>
        <w:t xml:space="preserve"> – Chacun des membres peut solliciter auprès du président l’insertion d’un point à l’ordre du jour, au minimum 15 jours ouvrables avant la date de la réunion.</w:t>
      </w:r>
    </w:p>
    <w:p>
      <w:pPr>
        <w:spacing w:after="120"/>
        <w:jc w:val="both"/>
        <w:rPr>
          <w:rFonts w:ascii="Calibri" w:hAnsi="Calibri" w:cs="Calibri"/>
          <w:sz w:val="20"/>
          <w:szCs w:val="20"/>
        </w:rPr>
      </w:pPr>
      <w:r>
        <w:rPr>
          <w:rFonts w:ascii="Calibri" w:hAnsi="Calibri" w:cs="Calibri"/>
          <w:b/>
          <w:sz w:val="20"/>
          <w:szCs w:val="20"/>
        </w:rPr>
        <w:t>Article 16</w:t>
      </w:r>
      <w:r>
        <w:rPr>
          <w:rFonts w:ascii="Calibri" w:hAnsi="Calibri" w:cs="Calibri"/>
          <w:sz w:val="20"/>
          <w:szCs w:val="20"/>
        </w:rPr>
        <w:t xml:space="preserve"> – Les points à l’ordre du jour sont discutés selon l’ordre précisé par celui-ci, à moins que le président n’en décide autrement. En cas d’urgence, le président peut soumettre des points non-inscrits à l’ordre du jour.</w:t>
      </w:r>
    </w:p>
    <w:p>
      <w:pPr>
        <w:spacing w:after="120"/>
        <w:jc w:val="both"/>
        <w:rPr>
          <w:rFonts w:ascii="Calibri" w:hAnsi="Calibri" w:cs="Calibri"/>
          <w:sz w:val="20"/>
          <w:szCs w:val="20"/>
        </w:rPr>
      </w:pPr>
      <w:r>
        <w:rPr>
          <w:rFonts w:ascii="Calibri" w:hAnsi="Calibri" w:cs="Calibri"/>
          <w:b/>
          <w:sz w:val="20"/>
          <w:szCs w:val="20"/>
        </w:rPr>
        <w:t>Article 17</w:t>
      </w:r>
      <w:r>
        <w:rPr>
          <w:rFonts w:ascii="Calibri" w:hAnsi="Calibri" w:cs="Calibri"/>
          <w:sz w:val="20"/>
          <w:szCs w:val="20"/>
        </w:rPr>
        <w:t xml:space="preserve"> – Le délai de convocation peut être raccourci si l’urgence des sujets à aborder l’exige. L’urgence doit être motivée dans la convocation.</w:t>
      </w:r>
      <w:r>
        <w:rPr>
          <w:rFonts w:ascii="Calibri" w:hAnsi="Calibri" w:cs="Calibri"/>
          <w:sz w:val="20"/>
          <w:szCs w:val="20"/>
        </w:rPr>
        <w:br w:type="page"/>
      </w:r>
    </w:p>
    <w:p>
      <w:pPr>
        <w:spacing w:after="120"/>
        <w:jc w:val="both"/>
        <w:rPr>
          <w:rFonts w:ascii="Calibri" w:hAnsi="Calibri" w:cs="Calibri"/>
          <w:sz w:val="20"/>
          <w:szCs w:val="20"/>
        </w:rPr>
      </w:pPr>
      <w:r>
        <w:rPr>
          <w:rFonts w:ascii="Calibri" w:hAnsi="Calibri" w:cs="Calibri"/>
          <w:b/>
          <w:sz w:val="20"/>
          <w:szCs w:val="20"/>
        </w:rPr>
        <w:lastRenderedPageBreak/>
        <w:t>Article 18</w:t>
      </w:r>
      <w:r>
        <w:rPr>
          <w:rFonts w:ascii="Calibri" w:hAnsi="Calibri" w:cs="Calibri"/>
          <w:sz w:val="20"/>
          <w:szCs w:val="20"/>
        </w:rPr>
        <w:t xml:space="preserve"> – Au terme de chaque réunion du Comité, le procès-verbal est rédigé par le coordonnateur du CTA et adressé aux membres du Comité. Les membres disposent d’un délai de 15 jours ouvrables après envoi du procès-verbal pour adresser leurs remarques. Passé ce délai, les remarques ne sont plus prises en compte. Le procès-verbal est approuvé à la réunion suivante.</w:t>
      </w:r>
    </w:p>
    <w:p>
      <w:pPr>
        <w:spacing w:after="120"/>
        <w:jc w:val="both"/>
        <w:rPr>
          <w:rFonts w:ascii="Calibri" w:hAnsi="Calibri" w:cs="Calibri"/>
          <w:sz w:val="20"/>
          <w:szCs w:val="20"/>
        </w:rPr>
      </w:pPr>
      <w:r>
        <w:rPr>
          <w:rFonts w:ascii="Calibri" w:hAnsi="Calibri" w:cs="Calibri"/>
          <w:b/>
          <w:sz w:val="20"/>
          <w:szCs w:val="20"/>
        </w:rPr>
        <w:t>Article 19</w:t>
      </w:r>
      <w:r>
        <w:rPr>
          <w:rFonts w:ascii="Calibri" w:hAnsi="Calibri" w:cs="Calibri"/>
          <w:sz w:val="20"/>
          <w:szCs w:val="20"/>
        </w:rPr>
        <w:t xml:space="preserve"> – Le procès-verbal de la réunion reprend au moins les points suivants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La date et le lieu de la réunion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Les membres présents et excusés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L’approbation du procès-verbal de la réunion précédente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Tous les points mis à l’ordre du jour et la suite qui leur a été réservée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Les principales interventions des membres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La validation du rapport d’activités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La situation budgétaire ;</w:t>
      </w:r>
    </w:p>
    <w:p>
      <w:pPr>
        <w:pStyle w:val="Paragraphedeliste"/>
        <w:numPr>
          <w:ilvl w:val="0"/>
          <w:numId w:val="89"/>
        </w:numPr>
        <w:spacing w:after="120"/>
        <w:ind w:left="714" w:hanging="357"/>
        <w:jc w:val="both"/>
        <w:rPr>
          <w:rFonts w:ascii="Calibri" w:hAnsi="Calibri" w:cs="Calibri"/>
          <w:sz w:val="20"/>
          <w:szCs w:val="20"/>
        </w:rPr>
      </w:pPr>
      <w:r>
        <w:rPr>
          <w:rFonts w:ascii="Calibri" w:hAnsi="Calibri" w:cs="Calibri"/>
          <w:sz w:val="20"/>
          <w:szCs w:val="20"/>
        </w:rPr>
        <w:t>Remarques sur le suivi du projet (facteurs bloquants, mesures à mettre en œuvre, etc.) ;</w:t>
      </w:r>
    </w:p>
    <w:p>
      <w:pPr>
        <w:pStyle w:val="Paragraphedeliste"/>
        <w:numPr>
          <w:ilvl w:val="0"/>
          <w:numId w:val="89"/>
        </w:numPr>
        <w:spacing w:after="120"/>
        <w:jc w:val="both"/>
        <w:rPr>
          <w:rFonts w:ascii="Calibri" w:hAnsi="Calibri" w:cs="Calibri"/>
          <w:sz w:val="20"/>
          <w:szCs w:val="20"/>
        </w:rPr>
      </w:pPr>
      <w:r>
        <w:rPr>
          <w:rFonts w:ascii="Calibri" w:hAnsi="Calibri" w:cs="Calibri"/>
          <w:sz w:val="20"/>
          <w:szCs w:val="20"/>
        </w:rPr>
        <w:t>Date et lieu de la prochaine réunion.</w:t>
      </w:r>
    </w:p>
    <w:p>
      <w:pPr>
        <w:spacing w:after="120"/>
        <w:jc w:val="both"/>
        <w:rPr>
          <w:rFonts w:ascii="Calibri" w:hAnsi="Calibri" w:cs="Calibri"/>
          <w:sz w:val="20"/>
          <w:szCs w:val="20"/>
        </w:rPr>
      </w:pPr>
      <w:r>
        <w:rPr>
          <w:rFonts w:ascii="Calibri" w:hAnsi="Calibri" w:cs="Calibri"/>
          <w:b/>
          <w:sz w:val="20"/>
          <w:szCs w:val="20"/>
        </w:rPr>
        <w:t>Article 20</w:t>
      </w:r>
      <w:r>
        <w:rPr>
          <w:rFonts w:ascii="Calibri" w:hAnsi="Calibri" w:cs="Calibri"/>
          <w:sz w:val="20"/>
          <w:szCs w:val="20"/>
        </w:rPr>
        <w:t xml:space="preserve"> – Le président peut inviter les membres du Comité à se prononcer par procédure écrite (courrier électronique). Le cas échéant, à défaut de réponse dans un délai de 15 jours ouvrables à compter de la date de la transmission des documents, les propositions soumises à l’examen des membres du Comité sont réputées approuvées.</w:t>
      </w:r>
    </w:p>
    <w:p>
      <w:pPr>
        <w:spacing w:before="240" w:after="240"/>
        <w:jc w:val="both"/>
        <w:rPr>
          <w:rFonts w:ascii="Calibri" w:hAnsi="Calibri" w:cs="Calibri"/>
          <w:b/>
        </w:rPr>
      </w:pPr>
      <w:r>
        <w:rPr>
          <w:rFonts w:ascii="Calibri" w:hAnsi="Calibri" w:cs="Calibri"/>
          <w:b/>
        </w:rPr>
        <w:t>Section 4 – Décisions</w:t>
      </w:r>
    </w:p>
    <w:p>
      <w:pPr>
        <w:spacing w:after="120"/>
        <w:jc w:val="both"/>
        <w:rPr>
          <w:rFonts w:ascii="Calibri" w:hAnsi="Calibri" w:cs="Calibri"/>
          <w:sz w:val="20"/>
          <w:szCs w:val="20"/>
        </w:rPr>
      </w:pPr>
      <w:r>
        <w:rPr>
          <w:rFonts w:ascii="Calibri" w:hAnsi="Calibri" w:cs="Calibri"/>
          <w:b/>
          <w:sz w:val="20"/>
          <w:szCs w:val="20"/>
        </w:rPr>
        <w:t>Article 21</w:t>
      </w:r>
      <w:r>
        <w:rPr>
          <w:rFonts w:ascii="Calibri" w:hAnsi="Calibri" w:cs="Calibri"/>
          <w:sz w:val="20"/>
          <w:szCs w:val="20"/>
        </w:rPr>
        <w:t xml:space="preserve"> – Les membres effectifs visés à l’article 4 du présent règlement, en ce compris le représentant du Ministre ayant l’enseignement obligatoire dans ses attributions, disposent chacun d’une voix délibérative.</w:t>
      </w:r>
    </w:p>
    <w:p>
      <w:pPr>
        <w:spacing w:after="120"/>
        <w:jc w:val="both"/>
        <w:rPr>
          <w:rFonts w:ascii="Calibri" w:hAnsi="Calibri" w:cs="Calibri"/>
          <w:sz w:val="20"/>
          <w:szCs w:val="20"/>
        </w:rPr>
      </w:pPr>
      <w:r>
        <w:rPr>
          <w:rFonts w:ascii="Calibri" w:hAnsi="Calibri" w:cs="Calibri"/>
          <w:b/>
          <w:sz w:val="20"/>
          <w:szCs w:val="20"/>
        </w:rPr>
        <w:t>Article 22</w:t>
      </w:r>
      <w:r>
        <w:rPr>
          <w:rFonts w:ascii="Calibri" w:hAnsi="Calibri" w:cs="Calibri"/>
          <w:sz w:val="20"/>
          <w:szCs w:val="20"/>
        </w:rPr>
        <w:t xml:space="preserve"> – Le Comité ne peut prendre de décision que si un quorum des deux tiers des membres effectifs ayant voix délibérative est présent ou représenté via procuration. A défaut, le Comité est à nouveau convoqué selon les modalités prévues dans les dispositions qui précèdent et a pouvoir de décision sans qu’aucun quorum de présences ne soit requis.</w:t>
      </w:r>
    </w:p>
    <w:p>
      <w:pPr>
        <w:spacing w:after="120"/>
        <w:jc w:val="both"/>
        <w:rPr>
          <w:rFonts w:ascii="Calibri" w:hAnsi="Calibri" w:cs="Calibri"/>
          <w:sz w:val="20"/>
          <w:szCs w:val="20"/>
        </w:rPr>
      </w:pPr>
      <w:r>
        <w:rPr>
          <w:rFonts w:ascii="Calibri" w:hAnsi="Calibri" w:cs="Calibri"/>
          <w:b/>
          <w:sz w:val="20"/>
          <w:szCs w:val="20"/>
        </w:rPr>
        <w:t>Article 23</w:t>
      </w:r>
      <w:r>
        <w:rPr>
          <w:rFonts w:ascii="Calibri" w:hAnsi="Calibri" w:cs="Calibri"/>
          <w:sz w:val="20"/>
          <w:szCs w:val="20"/>
        </w:rPr>
        <w:t xml:space="preserve"> – En règle générale, un point est adopté par consensus ou, à tout le moins, à la majorité simple des membres du Comité.</w:t>
      </w:r>
    </w:p>
    <w:p>
      <w:pPr>
        <w:spacing w:after="120"/>
        <w:jc w:val="both"/>
        <w:rPr>
          <w:rFonts w:ascii="Calibri" w:hAnsi="Calibri" w:cs="Calibri"/>
          <w:sz w:val="20"/>
          <w:szCs w:val="20"/>
        </w:rPr>
      </w:pPr>
      <w:r>
        <w:rPr>
          <w:rFonts w:ascii="Calibri" w:hAnsi="Calibri" w:cs="Calibri"/>
          <w:b/>
          <w:sz w:val="20"/>
          <w:szCs w:val="20"/>
        </w:rPr>
        <w:t>Article 24</w:t>
      </w:r>
      <w:r>
        <w:rPr>
          <w:rFonts w:ascii="Calibri" w:hAnsi="Calibri" w:cs="Calibri"/>
          <w:sz w:val="20"/>
          <w:szCs w:val="20"/>
        </w:rPr>
        <w:t xml:space="preserve"> – Le vote est rendu à main levée et la décision qui en découle est consignée dans le procès-verbal de la réunion.</w:t>
      </w:r>
    </w:p>
    <w:p>
      <w:pPr>
        <w:spacing w:before="240" w:after="240"/>
        <w:jc w:val="both"/>
        <w:rPr>
          <w:rFonts w:ascii="Calibri" w:hAnsi="Calibri" w:cs="Calibri"/>
          <w:b/>
        </w:rPr>
      </w:pPr>
      <w:r>
        <w:rPr>
          <w:rFonts w:ascii="Calibri" w:hAnsi="Calibri" w:cs="Calibri"/>
          <w:b/>
        </w:rPr>
        <w:t>Section 5 – Déontologie et éthique</w:t>
      </w:r>
    </w:p>
    <w:p>
      <w:pPr>
        <w:spacing w:after="120"/>
        <w:jc w:val="both"/>
        <w:rPr>
          <w:rFonts w:ascii="Calibri" w:hAnsi="Calibri" w:cs="Calibri"/>
          <w:sz w:val="20"/>
          <w:szCs w:val="20"/>
        </w:rPr>
      </w:pPr>
      <w:r>
        <w:rPr>
          <w:rFonts w:ascii="Calibri" w:hAnsi="Calibri" w:cs="Calibri"/>
          <w:b/>
          <w:sz w:val="20"/>
          <w:szCs w:val="20"/>
        </w:rPr>
        <w:t>Article 25</w:t>
      </w:r>
      <w:r>
        <w:rPr>
          <w:rFonts w:ascii="Calibri" w:hAnsi="Calibri" w:cs="Calibri"/>
          <w:sz w:val="20"/>
          <w:szCs w:val="20"/>
        </w:rPr>
        <w:t xml:space="preserve"> – Les membres du Comité s’expriment librement.</w:t>
      </w:r>
    </w:p>
    <w:p>
      <w:pPr>
        <w:spacing w:after="120"/>
        <w:jc w:val="both"/>
        <w:rPr>
          <w:rFonts w:ascii="Calibri" w:hAnsi="Calibri" w:cs="Calibri"/>
          <w:sz w:val="20"/>
          <w:szCs w:val="20"/>
        </w:rPr>
      </w:pPr>
      <w:r>
        <w:rPr>
          <w:rFonts w:ascii="Calibri" w:hAnsi="Calibri" w:cs="Calibri"/>
          <w:b/>
          <w:sz w:val="20"/>
          <w:szCs w:val="20"/>
        </w:rPr>
        <w:t>Article 26</w:t>
      </w:r>
      <w:r>
        <w:rPr>
          <w:rFonts w:ascii="Calibri" w:hAnsi="Calibri" w:cs="Calibri"/>
          <w:sz w:val="20"/>
          <w:szCs w:val="20"/>
        </w:rPr>
        <w:t xml:space="preserve"> – Les délibérations du Comité sont confidentielles.</w:t>
      </w:r>
    </w:p>
    <w:p>
      <w:pPr>
        <w:spacing w:after="120"/>
        <w:jc w:val="both"/>
        <w:rPr>
          <w:rFonts w:ascii="Calibri" w:hAnsi="Calibri" w:cs="Calibri"/>
          <w:sz w:val="20"/>
          <w:szCs w:val="20"/>
        </w:rPr>
      </w:pPr>
      <w:r>
        <w:rPr>
          <w:rFonts w:ascii="Calibri" w:hAnsi="Calibri" w:cs="Calibri"/>
          <w:b/>
          <w:sz w:val="20"/>
          <w:szCs w:val="20"/>
        </w:rPr>
        <w:t>Article 27</w:t>
      </w:r>
      <w:r>
        <w:rPr>
          <w:rFonts w:ascii="Calibri" w:hAnsi="Calibri" w:cs="Calibri"/>
          <w:sz w:val="20"/>
          <w:szCs w:val="20"/>
        </w:rPr>
        <w:t xml:space="preserve"> – En cas de violation des règles éthiques et du règlement d’ordre intérieur, le point doit être inscrit et débattu lors de la réunion suivante ou par procédure écrite.</w:t>
      </w:r>
    </w:p>
    <w:p>
      <w:pPr>
        <w:pStyle w:val="Paragraphedeliste1"/>
        <w:spacing w:after="120"/>
        <w:ind w:left="0"/>
        <w:contextualSpacing w:val="0"/>
        <w:jc w:val="both"/>
        <w:rPr>
          <w:rFonts w:ascii="Calibri" w:hAnsi="Calibri" w:cs="Calibri"/>
        </w:rPr>
      </w:pPr>
      <w:r>
        <w:rPr>
          <w:rFonts w:ascii="Calibri" w:hAnsi="Calibri" w:cs="Calibri"/>
        </w:rPr>
        <w:t>Le présent règlement a été approuvé par le comité d’accompagnement en date du : ………………</w:t>
      </w:r>
    </w:p>
    <w:p>
      <w:pPr>
        <w:spacing w:after="120"/>
        <w:rPr>
          <w:rFonts w:ascii="Calibri" w:hAnsi="Calibri" w:cs="Calibri"/>
          <w:sz w:val="20"/>
          <w:szCs w:val="20"/>
        </w:rPr>
      </w:pPr>
      <w:r>
        <w:rPr>
          <w:rFonts w:ascii="Calibri" w:hAnsi="Calibri" w:cs="Calibri"/>
          <w:sz w:val="20"/>
          <w:szCs w:val="20"/>
        </w:rPr>
        <w:t>Date et Signatures :</w:t>
      </w:r>
    </w:p>
    <w:p>
      <w:pPr>
        <w:rPr>
          <w:rFonts w:ascii="Calibri" w:hAnsi="Calibri" w:cs="Calibri"/>
          <w:sz w:val="22"/>
          <w:szCs w:val="22"/>
        </w:rPr>
      </w:pPr>
      <w:r>
        <w:rPr>
          <w:rFonts w:ascii="Calibri" w:hAnsi="Calibri" w:cs="Calibri"/>
          <w:sz w:val="22"/>
          <w:szCs w:val="22"/>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2</w:t>
      </w:r>
    </w:p>
    <w:p>
      <w:pPr>
        <w:spacing w:before="240" w:after="240"/>
        <w:jc w:val="center"/>
        <w:rPr>
          <w:rFonts w:ascii="Calibri" w:hAnsi="Calibri" w:cs="Calibri"/>
          <w:b/>
          <w:sz w:val="36"/>
          <w:szCs w:val="36"/>
        </w:rPr>
      </w:pPr>
      <w:r>
        <w:rPr>
          <w:rFonts w:ascii="Calibri" w:hAnsi="Calibri" w:cs="Calibri"/>
          <w:b/>
          <w:sz w:val="36"/>
          <w:szCs w:val="36"/>
        </w:rPr>
        <w:t>Modèle de règlement d’ordre intérieur du CTA</w:t>
      </w:r>
    </w:p>
    <w:p>
      <w:pPr>
        <w:spacing w:after="120"/>
        <w:rPr>
          <w:rFonts w:ascii="Calibri" w:hAnsi="Calibri" w:cs="Calibri"/>
          <w:sz w:val="22"/>
          <w:szCs w:val="22"/>
        </w:rPr>
      </w:pPr>
      <w:r>
        <w:rPr>
          <w:rFonts w:ascii="Calibri" w:hAnsi="Calibri" w:cs="Calibri"/>
          <w:sz w:val="22"/>
          <w:szCs w:val="22"/>
        </w:rPr>
        <w:br w:type="page"/>
      </w:r>
    </w:p>
    <w:p>
      <w:pPr>
        <w:spacing w:after="120"/>
        <w:rPr>
          <w:rFonts w:ascii="Calibri" w:hAnsi="Calibri" w:cs="Calibri"/>
          <w:sz w:val="22"/>
          <w:szCs w:val="22"/>
        </w:rPr>
      </w:pPr>
    </w:p>
    <w:p>
      <w:pPr>
        <w:pBdr>
          <w:top w:val="single" w:sz="8" w:space="1" w:color="auto"/>
          <w:left w:val="single" w:sz="8" w:space="4" w:color="auto"/>
          <w:bottom w:val="single" w:sz="8" w:space="1" w:color="auto"/>
          <w:right w:val="single" w:sz="8" w:space="2" w:color="auto"/>
        </w:pBdr>
        <w:spacing w:after="120"/>
        <w:jc w:val="center"/>
        <w:rPr>
          <w:rFonts w:ascii="Calibri" w:hAnsi="Calibri" w:cs="Calibri"/>
          <w:b/>
          <w:sz w:val="22"/>
          <w:szCs w:val="22"/>
        </w:rPr>
      </w:pPr>
      <w:r>
        <w:rPr>
          <w:rFonts w:ascii="Calibri" w:hAnsi="Calibri" w:cs="Calibri"/>
          <w:b/>
          <w:sz w:val="22"/>
          <w:szCs w:val="22"/>
        </w:rPr>
        <w:t>REGLEMENT D’ORDRE INTERIEUR CTA</w:t>
      </w:r>
    </w:p>
    <w:p>
      <w:pPr>
        <w:spacing w:after="120"/>
        <w:rPr>
          <w:rFonts w:ascii="Calibri" w:hAnsi="Calibri" w:cs="Calibri"/>
          <w:sz w:val="22"/>
          <w:szCs w:val="22"/>
        </w:rPr>
      </w:pPr>
    </w:p>
    <w:tbl>
      <w:tblPr>
        <w:tblW w:w="0" w:type="auto"/>
        <w:tblLook w:val="01E0" w:firstRow="1" w:lastRow="1" w:firstColumn="1" w:lastColumn="1" w:noHBand="0" w:noVBand="0"/>
      </w:tblPr>
      <w:tblGrid>
        <w:gridCol w:w="3049"/>
        <w:gridCol w:w="6021"/>
      </w:tblGrid>
      <w:tr>
        <w:tc>
          <w:tcPr>
            <w:tcW w:w="3085" w:type="dxa"/>
          </w:tcPr>
          <w:p>
            <w:pPr>
              <w:spacing w:after="120"/>
              <w:rPr>
                <w:rFonts w:ascii="Calibri" w:hAnsi="Calibri" w:cs="Calibri"/>
                <w:sz w:val="22"/>
                <w:szCs w:val="22"/>
                <w:lang w:eastAsia="fr-BE"/>
              </w:rPr>
            </w:pPr>
            <w:r>
              <w:rPr>
                <w:rFonts w:ascii="Calibri" w:hAnsi="Calibri" w:cs="Calibri"/>
                <w:sz w:val="22"/>
                <w:szCs w:val="22"/>
                <w:lang w:eastAsia="fr-BE"/>
              </w:rPr>
              <w:t>Nom du CTA</w:t>
            </w:r>
          </w:p>
        </w:tc>
        <w:tc>
          <w:tcPr>
            <w:tcW w:w="6127" w:type="dxa"/>
          </w:tcPr>
          <w:p>
            <w:pPr>
              <w:spacing w:after="120"/>
              <w:rPr>
                <w:rFonts w:ascii="Calibri" w:hAnsi="Calibri" w:cs="Calibri"/>
                <w:sz w:val="22"/>
                <w:szCs w:val="22"/>
                <w:lang w:eastAsia="fr-BE"/>
              </w:rPr>
            </w:pPr>
          </w:p>
        </w:tc>
      </w:tr>
      <w:tr>
        <w:tc>
          <w:tcPr>
            <w:tcW w:w="3085" w:type="dxa"/>
          </w:tcPr>
          <w:p>
            <w:pPr>
              <w:spacing w:after="120"/>
              <w:rPr>
                <w:rFonts w:ascii="Calibri" w:hAnsi="Calibri" w:cs="Calibri"/>
                <w:sz w:val="22"/>
                <w:szCs w:val="22"/>
                <w:lang w:eastAsia="fr-BE"/>
              </w:rPr>
            </w:pPr>
            <w:r>
              <w:rPr>
                <w:rFonts w:ascii="Calibri" w:hAnsi="Calibri" w:cs="Calibri"/>
                <w:sz w:val="22"/>
                <w:szCs w:val="22"/>
                <w:lang w:eastAsia="fr-BE"/>
              </w:rPr>
              <w:t>N° FASE</w:t>
            </w:r>
          </w:p>
        </w:tc>
        <w:tc>
          <w:tcPr>
            <w:tcW w:w="6127" w:type="dxa"/>
          </w:tcPr>
          <w:p>
            <w:pPr>
              <w:spacing w:after="120"/>
              <w:rPr>
                <w:rFonts w:ascii="Calibri" w:hAnsi="Calibri" w:cs="Calibri"/>
                <w:sz w:val="22"/>
                <w:szCs w:val="22"/>
                <w:lang w:eastAsia="fr-BE"/>
              </w:rPr>
            </w:pPr>
          </w:p>
        </w:tc>
      </w:tr>
      <w:tr>
        <w:tc>
          <w:tcPr>
            <w:tcW w:w="3085" w:type="dxa"/>
          </w:tcPr>
          <w:p>
            <w:pPr>
              <w:spacing w:after="120"/>
              <w:rPr>
                <w:rFonts w:ascii="Calibri" w:hAnsi="Calibri" w:cs="Calibri"/>
                <w:sz w:val="22"/>
                <w:szCs w:val="22"/>
                <w:lang w:eastAsia="fr-BE"/>
              </w:rPr>
            </w:pPr>
            <w:r>
              <w:rPr>
                <w:rFonts w:ascii="Calibri" w:hAnsi="Calibri" w:cs="Calibri"/>
                <w:sz w:val="22"/>
                <w:szCs w:val="22"/>
                <w:lang w:eastAsia="fr-BE"/>
              </w:rPr>
              <w:t>Adresse complète</w:t>
            </w:r>
          </w:p>
        </w:tc>
        <w:tc>
          <w:tcPr>
            <w:tcW w:w="6127" w:type="dxa"/>
          </w:tcPr>
          <w:p>
            <w:pPr>
              <w:spacing w:after="120"/>
              <w:rPr>
                <w:rFonts w:ascii="Calibri" w:hAnsi="Calibri" w:cs="Calibri"/>
                <w:sz w:val="22"/>
                <w:szCs w:val="22"/>
                <w:lang w:eastAsia="fr-BE"/>
              </w:rPr>
            </w:pPr>
          </w:p>
        </w:tc>
      </w:tr>
      <w:tr>
        <w:tc>
          <w:tcPr>
            <w:tcW w:w="3085" w:type="dxa"/>
          </w:tcPr>
          <w:p>
            <w:pPr>
              <w:spacing w:after="120"/>
              <w:rPr>
                <w:rFonts w:ascii="Calibri" w:hAnsi="Calibri" w:cs="Calibri"/>
                <w:sz w:val="22"/>
                <w:szCs w:val="22"/>
                <w:lang w:eastAsia="fr-BE"/>
              </w:rPr>
            </w:pPr>
            <w:r>
              <w:rPr>
                <w:rFonts w:ascii="Calibri" w:hAnsi="Calibri" w:cs="Calibri"/>
                <w:sz w:val="22"/>
                <w:szCs w:val="22"/>
                <w:lang w:eastAsia="fr-BE"/>
              </w:rPr>
              <w:t>Objet du CTA</w:t>
            </w:r>
          </w:p>
        </w:tc>
        <w:tc>
          <w:tcPr>
            <w:tcW w:w="6127" w:type="dxa"/>
          </w:tcPr>
          <w:p>
            <w:pPr>
              <w:spacing w:after="120"/>
              <w:rPr>
                <w:rFonts w:ascii="Calibri" w:hAnsi="Calibri" w:cs="Calibri"/>
                <w:sz w:val="22"/>
                <w:szCs w:val="22"/>
                <w:lang w:eastAsia="fr-BE"/>
              </w:rPr>
            </w:pPr>
          </w:p>
        </w:tc>
      </w:tr>
    </w:tbl>
    <w:p>
      <w:pPr>
        <w:pStyle w:val="Paragraphedeliste1"/>
        <w:spacing w:after="120"/>
        <w:ind w:left="0"/>
        <w:contextualSpacing w:val="0"/>
        <w:jc w:val="both"/>
        <w:rPr>
          <w:rFonts w:ascii="Calibri" w:hAnsi="Calibri" w:cs="Calibri"/>
          <w:sz w:val="22"/>
          <w:szCs w:val="22"/>
        </w:rPr>
      </w:pPr>
    </w:p>
    <w:p>
      <w:pPr>
        <w:pStyle w:val="Paragraphedeliste1"/>
        <w:spacing w:after="120"/>
        <w:ind w:left="0"/>
        <w:contextualSpacing w:val="0"/>
        <w:jc w:val="both"/>
        <w:rPr>
          <w:rFonts w:ascii="Calibri" w:hAnsi="Calibri" w:cs="Calibri"/>
          <w:sz w:val="22"/>
          <w:szCs w:val="22"/>
        </w:rPr>
      </w:pPr>
    </w:p>
    <w:p>
      <w:pPr>
        <w:pStyle w:val="Paragraphedeliste1"/>
        <w:numPr>
          <w:ilvl w:val="0"/>
          <w:numId w:val="16"/>
        </w:numPr>
        <w:spacing w:after="120"/>
        <w:contextualSpacing w:val="0"/>
        <w:jc w:val="both"/>
        <w:rPr>
          <w:rFonts w:ascii="Calibri" w:hAnsi="Calibri" w:cs="Calibri"/>
          <w:b/>
          <w:sz w:val="22"/>
          <w:szCs w:val="22"/>
        </w:rPr>
      </w:pPr>
      <w:r>
        <w:rPr>
          <w:rFonts w:ascii="Calibri" w:hAnsi="Calibri" w:cs="Calibri"/>
          <w:b/>
          <w:sz w:val="22"/>
          <w:szCs w:val="22"/>
        </w:rPr>
        <w:t>Dispositions générales</w:t>
      </w:r>
    </w:p>
    <w:p>
      <w:pPr>
        <w:pStyle w:val="Paragraphedeliste1"/>
        <w:spacing w:after="120"/>
        <w:ind w:left="0"/>
        <w:contextualSpacing w:val="0"/>
        <w:jc w:val="both"/>
        <w:rPr>
          <w:rFonts w:ascii="Calibri" w:hAnsi="Calibri" w:cs="Calibri"/>
          <w:sz w:val="22"/>
          <w:szCs w:val="22"/>
        </w:rPr>
      </w:pPr>
    </w:p>
    <w:p>
      <w:pPr>
        <w:pStyle w:val="Paragraphedeliste1"/>
        <w:numPr>
          <w:ilvl w:val="0"/>
          <w:numId w:val="14"/>
        </w:numPr>
        <w:tabs>
          <w:tab w:val="clear" w:pos="1440"/>
        </w:tabs>
        <w:spacing w:after="120"/>
        <w:ind w:left="720"/>
        <w:contextualSpacing w:val="0"/>
        <w:jc w:val="both"/>
        <w:rPr>
          <w:rFonts w:ascii="Calibri" w:hAnsi="Calibri" w:cs="Calibri"/>
          <w:sz w:val="22"/>
          <w:szCs w:val="22"/>
        </w:rPr>
      </w:pPr>
      <w:r>
        <w:rPr>
          <w:rFonts w:ascii="Calibri" w:hAnsi="Calibri" w:cs="Calibri"/>
          <w:sz w:val="22"/>
          <w:szCs w:val="22"/>
        </w:rPr>
        <w:t>Horaires d’ouverture du CTA</w:t>
      </w:r>
    </w:p>
    <w:p>
      <w:pPr>
        <w:pStyle w:val="Paragraphedeliste1"/>
        <w:numPr>
          <w:ilvl w:val="0"/>
          <w:numId w:val="14"/>
        </w:numPr>
        <w:tabs>
          <w:tab w:val="clear" w:pos="1440"/>
        </w:tabs>
        <w:spacing w:after="120"/>
        <w:ind w:left="720"/>
        <w:contextualSpacing w:val="0"/>
        <w:jc w:val="both"/>
        <w:rPr>
          <w:rFonts w:ascii="Calibri" w:hAnsi="Calibri" w:cs="Calibri"/>
          <w:sz w:val="22"/>
          <w:szCs w:val="22"/>
        </w:rPr>
      </w:pPr>
      <w:r>
        <w:rPr>
          <w:rFonts w:ascii="Calibri" w:hAnsi="Calibri" w:cs="Calibri"/>
          <w:sz w:val="22"/>
          <w:szCs w:val="22"/>
        </w:rPr>
        <w:t>Réservation et annulation des formations</w:t>
      </w:r>
    </w:p>
    <w:p>
      <w:pPr>
        <w:pStyle w:val="Paragraphedeliste1"/>
        <w:numPr>
          <w:ilvl w:val="0"/>
          <w:numId w:val="14"/>
        </w:numPr>
        <w:tabs>
          <w:tab w:val="clear" w:pos="1440"/>
        </w:tabs>
        <w:spacing w:after="120"/>
        <w:ind w:left="720"/>
        <w:contextualSpacing w:val="0"/>
        <w:jc w:val="both"/>
        <w:rPr>
          <w:rFonts w:ascii="Calibri" w:hAnsi="Calibri" w:cs="Calibri"/>
          <w:sz w:val="22"/>
          <w:szCs w:val="22"/>
        </w:rPr>
      </w:pPr>
      <w:r>
        <w:rPr>
          <w:rFonts w:ascii="Calibri" w:hAnsi="Calibri" w:cs="Calibri"/>
          <w:sz w:val="22"/>
          <w:szCs w:val="22"/>
        </w:rPr>
        <w:t>Responsabilités de l’accompagnateur du groupe</w:t>
      </w:r>
    </w:p>
    <w:p>
      <w:pPr>
        <w:pStyle w:val="Paragraphedeliste1"/>
        <w:spacing w:after="120"/>
        <w:ind w:left="0"/>
        <w:contextualSpacing w:val="0"/>
        <w:jc w:val="both"/>
        <w:rPr>
          <w:rFonts w:ascii="Calibri" w:hAnsi="Calibri" w:cs="Calibri"/>
          <w:sz w:val="22"/>
          <w:szCs w:val="22"/>
        </w:rPr>
      </w:pPr>
    </w:p>
    <w:p>
      <w:pPr>
        <w:pStyle w:val="Paragraphedeliste1"/>
        <w:numPr>
          <w:ilvl w:val="0"/>
          <w:numId w:val="16"/>
        </w:numPr>
        <w:spacing w:after="120"/>
        <w:contextualSpacing w:val="0"/>
        <w:jc w:val="both"/>
        <w:rPr>
          <w:rFonts w:ascii="Calibri" w:hAnsi="Calibri" w:cs="Calibri"/>
          <w:b/>
          <w:sz w:val="22"/>
          <w:szCs w:val="22"/>
        </w:rPr>
      </w:pPr>
      <w:r>
        <w:rPr>
          <w:rFonts w:ascii="Calibri" w:hAnsi="Calibri" w:cs="Calibri"/>
          <w:b/>
          <w:sz w:val="22"/>
          <w:szCs w:val="22"/>
        </w:rPr>
        <w:t>Charte de comportement</w:t>
      </w:r>
    </w:p>
    <w:p>
      <w:pPr>
        <w:pStyle w:val="Paragraphedeliste1"/>
        <w:spacing w:after="120"/>
        <w:ind w:left="0"/>
        <w:contextualSpacing w:val="0"/>
        <w:jc w:val="both"/>
        <w:rPr>
          <w:rFonts w:ascii="Calibri" w:hAnsi="Calibri" w:cs="Calibri"/>
          <w:sz w:val="22"/>
          <w:szCs w:val="22"/>
        </w:rPr>
      </w:pPr>
    </w:p>
    <w:p>
      <w:pPr>
        <w:pStyle w:val="Paragraphedeliste1"/>
        <w:spacing w:after="120"/>
        <w:ind w:left="360"/>
        <w:contextualSpacing w:val="0"/>
        <w:jc w:val="both"/>
        <w:rPr>
          <w:rFonts w:ascii="Calibri" w:hAnsi="Calibri" w:cs="Calibri"/>
          <w:sz w:val="22"/>
          <w:szCs w:val="22"/>
        </w:rPr>
      </w:pPr>
      <w:r>
        <w:rPr>
          <w:rFonts w:ascii="Calibri" w:hAnsi="Calibri" w:cs="Calibri"/>
          <w:sz w:val="22"/>
          <w:szCs w:val="22"/>
        </w:rPr>
        <w:t>Conformément aux dispositions en vigueur dans le règlement de l’établissement au sein duquel est implanté le CTA, chaque utilisateur s’engage à :</w:t>
      </w:r>
    </w:p>
    <w:p>
      <w:pPr>
        <w:pStyle w:val="Paragraphedeliste1"/>
        <w:numPr>
          <w:ilvl w:val="0"/>
          <w:numId w:val="21"/>
        </w:numPr>
        <w:tabs>
          <w:tab w:val="clear" w:pos="1800"/>
          <w:tab w:val="num" w:pos="720"/>
        </w:tabs>
        <w:spacing w:after="120"/>
        <w:ind w:left="720"/>
        <w:contextualSpacing w:val="0"/>
        <w:jc w:val="both"/>
        <w:rPr>
          <w:rFonts w:ascii="Calibri" w:hAnsi="Calibri" w:cs="Calibri"/>
          <w:sz w:val="22"/>
          <w:szCs w:val="22"/>
        </w:rPr>
      </w:pPr>
      <w:r>
        <w:rPr>
          <w:rFonts w:ascii="Calibri" w:hAnsi="Calibri" w:cs="Calibri"/>
          <w:sz w:val="22"/>
          <w:szCs w:val="22"/>
        </w:rPr>
        <w:t>Faire preuve de respect envers les enseignants, les formateurs, les autres participants et tout autre usager du CTA ou de l’établissement dans lequel celui-ci est implanté ;</w:t>
      </w:r>
    </w:p>
    <w:p>
      <w:pPr>
        <w:pStyle w:val="Paragraphedeliste1"/>
        <w:numPr>
          <w:ilvl w:val="0"/>
          <w:numId w:val="21"/>
        </w:numPr>
        <w:tabs>
          <w:tab w:val="clear" w:pos="1800"/>
          <w:tab w:val="num" w:pos="720"/>
        </w:tabs>
        <w:spacing w:after="120"/>
        <w:ind w:left="720"/>
        <w:contextualSpacing w:val="0"/>
        <w:jc w:val="both"/>
        <w:rPr>
          <w:rFonts w:ascii="Calibri" w:hAnsi="Calibri" w:cs="Calibri"/>
          <w:sz w:val="22"/>
          <w:szCs w:val="22"/>
        </w:rPr>
      </w:pPr>
      <w:r>
        <w:rPr>
          <w:rFonts w:ascii="Calibri" w:hAnsi="Calibri" w:cs="Calibri"/>
          <w:sz w:val="22"/>
          <w:szCs w:val="22"/>
        </w:rPr>
        <w:t>Respecter les heures d’ouverture du CTA ;</w:t>
      </w:r>
    </w:p>
    <w:p>
      <w:pPr>
        <w:pStyle w:val="Paragraphedeliste1"/>
        <w:numPr>
          <w:ilvl w:val="0"/>
          <w:numId w:val="21"/>
        </w:numPr>
        <w:tabs>
          <w:tab w:val="clear" w:pos="1800"/>
          <w:tab w:val="num" w:pos="720"/>
        </w:tabs>
        <w:spacing w:after="120"/>
        <w:ind w:left="720"/>
        <w:contextualSpacing w:val="0"/>
        <w:jc w:val="both"/>
        <w:rPr>
          <w:rFonts w:ascii="Calibri" w:hAnsi="Calibri" w:cs="Calibri"/>
          <w:sz w:val="22"/>
          <w:szCs w:val="22"/>
        </w:rPr>
      </w:pPr>
      <w:r>
        <w:rPr>
          <w:rFonts w:ascii="Calibri" w:hAnsi="Calibri" w:cs="Calibri"/>
          <w:sz w:val="22"/>
          <w:szCs w:val="22"/>
        </w:rPr>
        <w:t>Respecter le matériel mis à disposition et ses consignes d’utilisation reprises ci-dessous et l’utiliser en « bon père de famille » ;</w:t>
      </w:r>
    </w:p>
    <w:p>
      <w:pPr>
        <w:pStyle w:val="Paragraphedeliste1"/>
        <w:numPr>
          <w:ilvl w:val="0"/>
          <w:numId w:val="21"/>
        </w:numPr>
        <w:tabs>
          <w:tab w:val="clear" w:pos="1800"/>
          <w:tab w:val="num" w:pos="720"/>
        </w:tabs>
        <w:spacing w:after="120"/>
        <w:ind w:left="720"/>
        <w:contextualSpacing w:val="0"/>
        <w:jc w:val="both"/>
        <w:rPr>
          <w:rFonts w:ascii="Calibri" w:hAnsi="Calibri" w:cs="Calibri"/>
          <w:sz w:val="22"/>
          <w:szCs w:val="22"/>
        </w:rPr>
      </w:pPr>
      <w:r>
        <w:rPr>
          <w:rFonts w:ascii="Calibri" w:hAnsi="Calibri" w:cs="Calibri"/>
          <w:sz w:val="22"/>
          <w:szCs w:val="22"/>
        </w:rPr>
        <w:t>Respecter les normes d’hygiène et/ou de sécurité énumérées ci-dessous ;</w:t>
      </w:r>
    </w:p>
    <w:p>
      <w:pPr>
        <w:pStyle w:val="Paragraphedeliste1"/>
        <w:numPr>
          <w:ilvl w:val="0"/>
          <w:numId w:val="21"/>
        </w:numPr>
        <w:tabs>
          <w:tab w:val="clear" w:pos="1800"/>
          <w:tab w:val="num" w:pos="720"/>
        </w:tabs>
        <w:spacing w:after="120"/>
        <w:ind w:left="720"/>
        <w:contextualSpacing w:val="0"/>
        <w:jc w:val="both"/>
        <w:rPr>
          <w:rFonts w:ascii="Calibri" w:hAnsi="Calibri" w:cs="Calibri"/>
          <w:sz w:val="22"/>
          <w:szCs w:val="22"/>
        </w:rPr>
      </w:pPr>
      <w:r>
        <w:rPr>
          <w:rFonts w:ascii="Calibri" w:hAnsi="Calibri" w:cs="Calibri"/>
          <w:sz w:val="22"/>
          <w:szCs w:val="22"/>
        </w:rPr>
        <w:t>Adopter une tenue vestimentaire appropriée répondant aux normes d’hygiène et de sécurité ;</w:t>
      </w:r>
    </w:p>
    <w:p>
      <w:pPr>
        <w:pStyle w:val="Paragraphedeliste1"/>
        <w:numPr>
          <w:ilvl w:val="0"/>
          <w:numId w:val="21"/>
        </w:numPr>
        <w:tabs>
          <w:tab w:val="clear" w:pos="1800"/>
          <w:tab w:val="num" w:pos="720"/>
        </w:tabs>
        <w:spacing w:after="120"/>
        <w:ind w:left="720"/>
        <w:contextualSpacing w:val="0"/>
        <w:jc w:val="both"/>
        <w:rPr>
          <w:rFonts w:ascii="Calibri" w:hAnsi="Calibri" w:cs="Calibri"/>
          <w:sz w:val="22"/>
          <w:szCs w:val="22"/>
        </w:rPr>
      </w:pPr>
      <w:r>
        <w:rPr>
          <w:rFonts w:ascii="Calibri" w:hAnsi="Calibri" w:cs="Calibri"/>
          <w:sz w:val="22"/>
          <w:szCs w:val="22"/>
        </w:rPr>
        <w:t>S’engager à participer activement à la formation ;</w:t>
      </w:r>
    </w:p>
    <w:p>
      <w:pPr>
        <w:pStyle w:val="Paragraphedeliste1"/>
        <w:numPr>
          <w:ilvl w:val="0"/>
          <w:numId w:val="21"/>
        </w:numPr>
        <w:tabs>
          <w:tab w:val="clear" w:pos="1800"/>
          <w:tab w:val="num" w:pos="720"/>
        </w:tabs>
        <w:spacing w:after="120"/>
        <w:ind w:left="720"/>
        <w:contextualSpacing w:val="0"/>
        <w:jc w:val="both"/>
        <w:rPr>
          <w:rFonts w:ascii="Calibri" w:hAnsi="Calibri" w:cs="Calibri"/>
          <w:sz w:val="22"/>
          <w:szCs w:val="22"/>
        </w:rPr>
      </w:pPr>
      <w:r>
        <w:rPr>
          <w:rFonts w:ascii="Calibri" w:hAnsi="Calibri" w:cs="Calibri"/>
          <w:sz w:val="22"/>
          <w:szCs w:val="22"/>
        </w:rPr>
        <w:t>Faire preuve d’assiduité tout au long de la formation.</w:t>
      </w:r>
    </w:p>
    <w:p>
      <w:pPr>
        <w:pStyle w:val="Paragraphedeliste1"/>
        <w:numPr>
          <w:ilvl w:val="0"/>
          <w:numId w:val="21"/>
        </w:numPr>
        <w:tabs>
          <w:tab w:val="clear" w:pos="1800"/>
          <w:tab w:val="num" w:pos="720"/>
        </w:tabs>
        <w:spacing w:after="120"/>
        <w:ind w:left="720"/>
        <w:contextualSpacing w:val="0"/>
        <w:jc w:val="both"/>
        <w:rPr>
          <w:rFonts w:ascii="Calibri" w:hAnsi="Calibri" w:cs="Calibri"/>
          <w:sz w:val="22"/>
          <w:szCs w:val="22"/>
        </w:rPr>
      </w:pPr>
      <w:r>
        <w:rPr>
          <w:rFonts w:ascii="Calibri" w:hAnsi="Calibri" w:cs="Calibri"/>
          <w:sz w:val="22"/>
          <w:szCs w:val="22"/>
        </w:rPr>
        <w:t>Etc.</w:t>
      </w:r>
    </w:p>
    <w:p>
      <w:pPr>
        <w:pStyle w:val="Paragraphedeliste1"/>
        <w:spacing w:after="120"/>
        <w:ind w:left="0"/>
        <w:contextualSpacing w:val="0"/>
        <w:jc w:val="both"/>
        <w:rPr>
          <w:rFonts w:ascii="Calibri" w:hAnsi="Calibri" w:cs="Calibri"/>
          <w:sz w:val="22"/>
          <w:szCs w:val="22"/>
        </w:rPr>
      </w:pPr>
    </w:p>
    <w:p>
      <w:pPr>
        <w:pStyle w:val="Paragraphedeliste1"/>
        <w:spacing w:after="120"/>
        <w:ind w:left="0"/>
        <w:contextualSpacing w:val="0"/>
        <w:jc w:val="both"/>
        <w:rPr>
          <w:rFonts w:ascii="Calibri" w:hAnsi="Calibri" w:cs="Calibri"/>
          <w:sz w:val="22"/>
          <w:szCs w:val="22"/>
        </w:rPr>
      </w:pPr>
    </w:p>
    <w:p>
      <w:pPr>
        <w:pStyle w:val="Paragraphedeliste1"/>
        <w:numPr>
          <w:ilvl w:val="0"/>
          <w:numId w:val="16"/>
        </w:numPr>
        <w:spacing w:after="120"/>
        <w:contextualSpacing w:val="0"/>
        <w:jc w:val="both"/>
        <w:rPr>
          <w:rFonts w:ascii="Calibri" w:hAnsi="Calibri" w:cs="Calibri"/>
          <w:b/>
          <w:sz w:val="22"/>
          <w:szCs w:val="22"/>
        </w:rPr>
      </w:pPr>
      <w:r>
        <w:rPr>
          <w:rFonts w:ascii="Calibri" w:hAnsi="Calibri" w:cs="Calibri"/>
          <w:b/>
          <w:sz w:val="22"/>
          <w:szCs w:val="22"/>
        </w:rPr>
        <w:br w:type="page"/>
      </w:r>
      <w:r>
        <w:rPr>
          <w:rFonts w:ascii="Calibri" w:hAnsi="Calibri" w:cs="Calibri"/>
          <w:b/>
          <w:sz w:val="22"/>
          <w:szCs w:val="22"/>
        </w:rPr>
        <w:lastRenderedPageBreak/>
        <w:t>Consignes spécifiques à respecter dans le cadre de l’utilisation des équipements</w:t>
      </w:r>
    </w:p>
    <w:p>
      <w:pPr>
        <w:pStyle w:val="Paragraphedeliste1"/>
        <w:spacing w:after="120"/>
        <w:ind w:left="360"/>
        <w:contextualSpacing w:val="0"/>
        <w:jc w:val="both"/>
        <w:rPr>
          <w:rFonts w:ascii="Calibri" w:hAnsi="Calibri" w:cs="Calibri"/>
          <w:b/>
          <w:sz w:val="22"/>
          <w:szCs w:val="22"/>
        </w:rPr>
      </w:pPr>
    </w:p>
    <w:p>
      <w:pPr>
        <w:pStyle w:val="Paragraphedeliste1"/>
        <w:numPr>
          <w:ilvl w:val="0"/>
          <w:numId w:val="15"/>
        </w:numPr>
        <w:tabs>
          <w:tab w:val="clear" w:pos="1440"/>
          <w:tab w:val="num" w:pos="720"/>
        </w:tabs>
        <w:spacing w:after="120"/>
        <w:ind w:left="720"/>
        <w:contextualSpacing w:val="0"/>
        <w:jc w:val="both"/>
        <w:rPr>
          <w:rFonts w:ascii="Calibri" w:hAnsi="Calibri" w:cs="Calibri"/>
          <w:sz w:val="22"/>
          <w:szCs w:val="22"/>
        </w:rPr>
      </w:pPr>
      <w:r>
        <w:rPr>
          <w:rFonts w:ascii="Calibri" w:hAnsi="Calibri" w:cs="Calibri"/>
          <w:sz w:val="22"/>
          <w:szCs w:val="22"/>
        </w:rPr>
        <w:t>Formation préalable</w:t>
      </w:r>
    </w:p>
    <w:p>
      <w:pPr>
        <w:pStyle w:val="Paragraphedeliste1"/>
        <w:numPr>
          <w:ilvl w:val="0"/>
          <w:numId w:val="15"/>
        </w:numPr>
        <w:tabs>
          <w:tab w:val="clear" w:pos="1440"/>
          <w:tab w:val="num" w:pos="720"/>
        </w:tabs>
        <w:spacing w:after="120"/>
        <w:ind w:left="720"/>
        <w:contextualSpacing w:val="0"/>
        <w:jc w:val="both"/>
        <w:rPr>
          <w:rFonts w:ascii="Calibri" w:hAnsi="Calibri" w:cs="Calibri"/>
          <w:sz w:val="22"/>
          <w:szCs w:val="22"/>
        </w:rPr>
      </w:pPr>
      <w:r>
        <w:rPr>
          <w:rFonts w:ascii="Calibri" w:hAnsi="Calibri" w:cs="Calibri"/>
          <w:sz w:val="22"/>
          <w:szCs w:val="22"/>
        </w:rPr>
        <w:t>Sécurité</w:t>
      </w:r>
    </w:p>
    <w:p>
      <w:pPr>
        <w:pStyle w:val="Paragraphedeliste1"/>
        <w:numPr>
          <w:ilvl w:val="0"/>
          <w:numId w:val="15"/>
        </w:numPr>
        <w:tabs>
          <w:tab w:val="clear" w:pos="1440"/>
          <w:tab w:val="num" w:pos="720"/>
        </w:tabs>
        <w:spacing w:after="120"/>
        <w:ind w:left="720"/>
        <w:contextualSpacing w:val="0"/>
        <w:jc w:val="both"/>
        <w:rPr>
          <w:rFonts w:ascii="Calibri" w:hAnsi="Calibri" w:cs="Calibri"/>
          <w:sz w:val="22"/>
          <w:szCs w:val="22"/>
        </w:rPr>
      </w:pPr>
      <w:r>
        <w:rPr>
          <w:rFonts w:ascii="Calibri" w:hAnsi="Calibri" w:cs="Calibri"/>
          <w:sz w:val="22"/>
          <w:szCs w:val="22"/>
        </w:rPr>
        <w:t>Hygiène</w:t>
      </w:r>
    </w:p>
    <w:p>
      <w:pPr>
        <w:pStyle w:val="Paragraphedeliste1"/>
        <w:numPr>
          <w:ilvl w:val="0"/>
          <w:numId w:val="15"/>
        </w:numPr>
        <w:tabs>
          <w:tab w:val="clear" w:pos="1440"/>
          <w:tab w:val="num" w:pos="720"/>
        </w:tabs>
        <w:spacing w:after="120"/>
        <w:ind w:left="720"/>
        <w:contextualSpacing w:val="0"/>
        <w:jc w:val="both"/>
        <w:rPr>
          <w:rFonts w:ascii="Calibri" w:hAnsi="Calibri" w:cs="Calibri"/>
          <w:sz w:val="22"/>
          <w:szCs w:val="22"/>
        </w:rPr>
      </w:pPr>
      <w:r>
        <w:rPr>
          <w:rFonts w:ascii="Calibri" w:hAnsi="Calibri" w:cs="Calibri"/>
          <w:sz w:val="22"/>
          <w:szCs w:val="22"/>
        </w:rPr>
        <w:t>Fraude et vol</w:t>
      </w:r>
    </w:p>
    <w:p>
      <w:pPr>
        <w:pStyle w:val="Paragraphedeliste1"/>
        <w:numPr>
          <w:ilvl w:val="0"/>
          <w:numId w:val="15"/>
        </w:numPr>
        <w:tabs>
          <w:tab w:val="clear" w:pos="1440"/>
          <w:tab w:val="num" w:pos="720"/>
        </w:tabs>
        <w:spacing w:after="120"/>
        <w:ind w:left="720"/>
        <w:contextualSpacing w:val="0"/>
        <w:jc w:val="both"/>
        <w:rPr>
          <w:rFonts w:ascii="Calibri" w:hAnsi="Calibri" w:cs="Calibri"/>
          <w:sz w:val="22"/>
          <w:szCs w:val="22"/>
        </w:rPr>
      </w:pPr>
      <w:r>
        <w:rPr>
          <w:rFonts w:ascii="Calibri" w:hAnsi="Calibri" w:cs="Calibri"/>
          <w:sz w:val="22"/>
          <w:szCs w:val="22"/>
        </w:rPr>
        <w:t>Utilisation de matériel électronique et informatique (GSM, tablettes, matériel informatique du CTA, utilisation des réseaux sociaux, etc.)</w:t>
      </w:r>
    </w:p>
    <w:p>
      <w:pPr>
        <w:pStyle w:val="Paragraphedeliste1"/>
        <w:numPr>
          <w:ilvl w:val="0"/>
          <w:numId w:val="15"/>
        </w:numPr>
        <w:tabs>
          <w:tab w:val="clear" w:pos="1440"/>
          <w:tab w:val="num" w:pos="720"/>
        </w:tabs>
        <w:spacing w:after="120"/>
        <w:ind w:left="720"/>
        <w:contextualSpacing w:val="0"/>
        <w:jc w:val="both"/>
        <w:rPr>
          <w:rFonts w:ascii="Calibri" w:hAnsi="Calibri" w:cs="Calibri"/>
          <w:sz w:val="22"/>
          <w:szCs w:val="22"/>
        </w:rPr>
      </w:pPr>
      <w:r>
        <w:rPr>
          <w:rFonts w:ascii="Calibri" w:hAnsi="Calibri" w:cs="Calibri"/>
          <w:sz w:val="22"/>
          <w:szCs w:val="22"/>
        </w:rPr>
        <w:t>Remise en ordre des locaux et/ou du matériel après leur utilisation</w:t>
      </w:r>
    </w:p>
    <w:p>
      <w:pPr>
        <w:pStyle w:val="Paragraphedeliste1"/>
        <w:numPr>
          <w:ilvl w:val="0"/>
          <w:numId w:val="15"/>
        </w:numPr>
        <w:tabs>
          <w:tab w:val="clear" w:pos="1440"/>
          <w:tab w:val="num" w:pos="720"/>
        </w:tabs>
        <w:spacing w:after="120"/>
        <w:ind w:left="720"/>
        <w:contextualSpacing w:val="0"/>
        <w:jc w:val="both"/>
        <w:rPr>
          <w:rFonts w:ascii="Calibri" w:hAnsi="Calibri" w:cs="Calibri"/>
          <w:sz w:val="22"/>
          <w:szCs w:val="22"/>
        </w:rPr>
      </w:pPr>
      <w:r>
        <w:rPr>
          <w:rFonts w:ascii="Calibri" w:hAnsi="Calibri" w:cs="Calibri"/>
          <w:sz w:val="22"/>
          <w:szCs w:val="22"/>
        </w:rPr>
        <w:t>Etc.</w:t>
      </w:r>
    </w:p>
    <w:p>
      <w:pPr>
        <w:pStyle w:val="Paragraphedeliste1"/>
        <w:spacing w:after="120"/>
        <w:ind w:left="0"/>
        <w:contextualSpacing w:val="0"/>
        <w:jc w:val="both"/>
        <w:rPr>
          <w:rFonts w:ascii="Calibri" w:hAnsi="Calibri" w:cs="Calibri"/>
          <w:sz w:val="22"/>
          <w:szCs w:val="22"/>
        </w:rPr>
      </w:pPr>
    </w:p>
    <w:p>
      <w:pPr>
        <w:pStyle w:val="Paragraphedeliste1"/>
        <w:numPr>
          <w:ilvl w:val="0"/>
          <w:numId w:val="16"/>
        </w:numPr>
        <w:spacing w:after="120"/>
        <w:contextualSpacing w:val="0"/>
        <w:jc w:val="both"/>
        <w:rPr>
          <w:rFonts w:ascii="Calibri" w:hAnsi="Calibri" w:cs="Calibri"/>
          <w:b/>
          <w:sz w:val="22"/>
          <w:szCs w:val="22"/>
        </w:rPr>
      </w:pPr>
      <w:r>
        <w:rPr>
          <w:rFonts w:ascii="Calibri" w:hAnsi="Calibri" w:cs="Calibri"/>
          <w:b/>
          <w:sz w:val="22"/>
          <w:szCs w:val="22"/>
        </w:rPr>
        <w:t>Divers</w:t>
      </w:r>
    </w:p>
    <w:p>
      <w:pPr>
        <w:pStyle w:val="Paragraphedeliste1"/>
        <w:spacing w:after="120"/>
        <w:ind w:left="0"/>
        <w:contextualSpacing w:val="0"/>
        <w:jc w:val="both"/>
        <w:rPr>
          <w:rFonts w:ascii="Calibri" w:hAnsi="Calibri" w:cs="Calibri"/>
          <w:sz w:val="22"/>
          <w:szCs w:val="22"/>
        </w:rPr>
      </w:pPr>
    </w:p>
    <w:p>
      <w:pPr>
        <w:pStyle w:val="Paragraphedeliste1"/>
        <w:spacing w:after="120"/>
        <w:ind w:left="0"/>
        <w:contextualSpacing w:val="0"/>
        <w:jc w:val="both"/>
        <w:rPr>
          <w:rFonts w:ascii="Calibri" w:hAnsi="Calibri" w:cs="Calibri"/>
          <w:sz w:val="22"/>
          <w:szCs w:val="22"/>
        </w:rPr>
      </w:pPr>
      <w:r>
        <w:rPr>
          <w:rFonts w:ascii="Calibri" w:hAnsi="Calibri" w:cs="Calibri"/>
          <w:sz w:val="22"/>
          <w:szCs w:val="22"/>
        </w:rPr>
        <w:t>Le CTA décline toute responsabilité en cas de vol ou de détérioration d’objet(s) personnel(s) apporté(s) dans l’enceinte du centre par les stagiaires et formateurs.</w:t>
      </w:r>
    </w:p>
    <w:p>
      <w:pPr>
        <w:pStyle w:val="Paragraphedeliste1"/>
        <w:spacing w:after="120"/>
        <w:ind w:left="0"/>
        <w:contextualSpacing w:val="0"/>
        <w:jc w:val="both"/>
        <w:rPr>
          <w:rFonts w:ascii="Calibri" w:hAnsi="Calibri" w:cs="Calibri"/>
          <w:sz w:val="22"/>
          <w:szCs w:val="22"/>
        </w:rPr>
      </w:pPr>
    </w:p>
    <w:p>
      <w:pPr>
        <w:pStyle w:val="Paragraphedeliste1"/>
        <w:spacing w:after="120"/>
        <w:ind w:left="0"/>
        <w:contextualSpacing w:val="0"/>
        <w:jc w:val="both"/>
        <w:rPr>
          <w:rFonts w:ascii="Calibri" w:hAnsi="Calibri" w:cs="Calibri"/>
          <w:sz w:val="22"/>
          <w:szCs w:val="22"/>
        </w:rPr>
      </w:pPr>
      <w:r>
        <w:rPr>
          <w:rFonts w:ascii="Calibri" w:hAnsi="Calibri" w:cs="Calibri"/>
          <w:sz w:val="22"/>
          <w:szCs w:val="22"/>
        </w:rPr>
        <w:t>En cas de manquement à l’une des consignes listées ci-dessus, le personnel du CTA se réserve le droit d’exclure l’auteur du déroulement de la formation et/ou de la fréquentation du centre.</w:t>
      </w:r>
    </w:p>
    <w:p>
      <w:pPr>
        <w:pStyle w:val="Paragraphedeliste1"/>
        <w:spacing w:after="120"/>
        <w:ind w:left="0"/>
        <w:contextualSpacing w:val="0"/>
        <w:jc w:val="both"/>
        <w:rPr>
          <w:rFonts w:ascii="Calibri" w:hAnsi="Calibri" w:cs="Calibri"/>
          <w:sz w:val="22"/>
          <w:szCs w:val="22"/>
        </w:rPr>
      </w:pPr>
    </w:p>
    <w:p>
      <w:pPr>
        <w:pStyle w:val="Paragraphedeliste1"/>
        <w:spacing w:after="120"/>
        <w:ind w:left="0"/>
        <w:contextualSpacing w:val="0"/>
        <w:jc w:val="both"/>
        <w:rPr>
          <w:rFonts w:ascii="Calibri" w:hAnsi="Calibri" w:cs="Calibri"/>
          <w:sz w:val="22"/>
          <w:szCs w:val="22"/>
        </w:rPr>
      </w:pPr>
      <w:r>
        <w:rPr>
          <w:rFonts w:ascii="Calibri" w:hAnsi="Calibri" w:cs="Calibri"/>
          <w:sz w:val="22"/>
          <w:szCs w:val="22"/>
        </w:rPr>
        <w:t>Le présent règlement a été approuvé par le comité d’accompagnement en date du : ………………</w:t>
      </w:r>
    </w:p>
    <w:p>
      <w:pPr>
        <w:spacing w:after="120"/>
        <w:rPr>
          <w:rFonts w:ascii="Calibri" w:hAnsi="Calibri" w:cs="Calibri"/>
          <w:sz w:val="22"/>
          <w:szCs w:val="22"/>
        </w:rPr>
      </w:pPr>
    </w:p>
    <w:p>
      <w:pPr>
        <w:spacing w:after="120"/>
        <w:rPr>
          <w:rFonts w:ascii="Calibri" w:hAnsi="Calibri" w:cs="Calibri"/>
          <w:sz w:val="22"/>
          <w:szCs w:val="22"/>
        </w:rPr>
      </w:pPr>
      <w:r>
        <w:rPr>
          <w:rFonts w:ascii="Calibri" w:hAnsi="Calibri" w:cs="Calibri"/>
          <w:sz w:val="22"/>
          <w:szCs w:val="22"/>
        </w:rPr>
        <w:t>Date et Signatures :</w:t>
      </w:r>
    </w:p>
    <w:tbl>
      <w:tblPr>
        <w:tblW w:w="0" w:type="auto"/>
        <w:tblLook w:val="01E0" w:firstRow="1" w:lastRow="1" w:firstColumn="1" w:lastColumn="1" w:noHBand="0" w:noVBand="0"/>
      </w:tblPr>
      <w:tblGrid>
        <w:gridCol w:w="4537"/>
        <w:gridCol w:w="4533"/>
      </w:tblGrid>
      <w:tr>
        <w:tc>
          <w:tcPr>
            <w:tcW w:w="4606" w:type="dxa"/>
          </w:tcPr>
          <w:p>
            <w:pPr>
              <w:spacing w:after="120"/>
              <w:rPr>
                <w:rFonts w:ascii="Calibri" w:eastAsia="Calibri" w:hAnsi="Calibri" w:cs="Calibri"/>
                <w:sz w:val="22"/>
                <w:szCs w:val="22"/>
              </w:rPr>
            </w:pPr>
            <w:r>
              <w:rPr>
                <w:rFonts w:ascii="Calibri" w:eastAsia="Calibri" w:hAnsi="Calibri" w:cs="Calibri"/>
                <w:sz w:val="22"/>
                <w:szCs w:val="22"/>
              </w:rPr>
              <w:t>Le coordonnateur du CTA / Le chef d’établissement dans lequel est implanté le CTA :</w:t>
            </w:r>
          </w:p>
        </w:tc>
        <w:tc>
          <w:tcPr>
            <w:tcW w:w="4606" w:type="dxa"/>
          </w:tcPr>
          <w:p>
            <w:pPr>
              <w:spacing w:after="120"/>
              <w:ind w:left="214"/>
              <w:rPr>
                <w:rFonts w:ascii="Calibri" w:eastAsia="Calibri" w:hAnsi="Calibri" w:cs="Calibri"/>
                <w:sz w:val="22"/>
                <w:szCs w:val="22"/>
              </w:rPr>
            </w:pPr>
            <w:r>
              <w:rPr>
                <w:rFonts w:ascii="Calibri" w:eastAsia="Calibri" w:hAnsi="Calibri" w:cs="Calibri"/>
                <w:sz w:val="22"/>
                <w:szCs w:val="22"/>
              </w:rPr>
              <w:t>L’utilisateur du CTA :</w:t>
            </w:r>
          </w:p>
          <w:p>
            <w:pPr>
              <w:spacing w:after="120"/>
              <w:rPr>
                <w:rFonts w:ascii="Calibri" w:eastAsia="Calibri" w:hAnsi="Calibri" w:cs="Calibri"/>
                <w:sz w:val="22"/>
                <w:szCs w:val="22"/>
              </w:rPr>
            </w:pPr>
          </w:p>
        </w:tc>
      </w:tr>
      <w:tr>
        <w:trPr>
          <w:trHeight w:val="1072"/>
        </w:trPr>
        <w:tc>
          <w:tcPr>
            <w:tcW w:w="4606" w:type="dxa"/>
          </w:tcPr>
          <w:p>
            <w:pPr>
              <w:spacing w:after="120"/>
              <w:rPr>
                <w:rFonts w:ascii="Calibri" w:eastAsia="Calibri" w:hAnsi="Calibri" w:cs="Calibri"/>
                <w:sz w:val="22"/>
                <w:szCs w:val="22"/>
              </w:rPr>
            </w:pPr>
          </w:p>
        </w:tc>
        <w:tc>
          <w:tcPr>
            <w:tcW w:w="4606" w:type="dxa"/>
          </w:tcPr>
          <w:p>
            <w:pPr>
              <w:spacing w:after="120"/>
              <w:rPr>
                <w:rFonts w:ascii="Calibri" w:eastAsia="Calibri" w:hAnsi="Calibri" w:cs="Calibri"/>
                <w:sz w:val="22"/>
                <w:szCs w:val="22"/>
              </w:rPr>
            </w:pPr>
          </w:p>
        </w:tc>
      </w:tr>
    </w:tbl>
    <w:p>
      <w:pPr>
        <w:spacing w:after="120"/>
        <w:rPr>
          <w:rFonts w:ascii="Calibri" w:hAnsi="Calibri" w:cs="Calibri"/>
          <w:sz w:val="22"/>
          <w:szCs w:val="22"/>
        </w:rPr>
      </w:pPr>
    </w:p>
    <w:p>
      <w:pPr>
        <w:rPr>
          <w:rFonts w:ascii="Calibri" w:hAnsi="Calibri" w:cs="Calibri"/>
          <w:sz w:val="22"/>
          <w:szCs w:val="22"/>
        </w:rPr>
      </w:pPr>
      <w:r>
        <w:rPr>
          <w:rFonts w:ascii="Calibri" w:hAnsi="Calibri" w:cs="Calibri"/>
          <w:sz w:val="22"/>
          <w:szCs w:val="22"/>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3</w:t>
      </w:r>
    </w:p>
    <w:p>
      <w:pPr>
        <w:spacing w:before="240" w:after="240"/>
        <w:jc w:val="center"/>
        <w:rPr>
          <w:rFonts w:ascii="Calibri" w:hAnsi="Calibri" w:cs="Calibri"/>
          <w:b/>
          <w:sz w:val="36"/>
          <w:szCs w:val="36"/>
        </w:rPr>
      </w:pPr>
      <w:r>
        <w:rPr>
          <w:rFonts w:ascii="Calibri" w:hAnsi="Calibri" w:cs="Calibri"/>
          <w:b/>
          <w:sz w:val="36"/>
          <w:szCs w:val="36"/>
        </w:rPr>
        <w:t>Modèle de convention bilatérale générale et spécifique à destination des opérateurs-utilisateurs issus de l’enseignement obligatoire</w:t>
      </w:r>
    </w:p>
    <w:p>
      <w:pPr>
        <w:spacing w:before="240" w:after="240"/>
        <w:jc w:val="both"/>
        <w:rPr>
          <w:rFonts w:ascii="Calibri" w:hAnsi="Calibri" w:cs="Calibri"/>
          <w:sz w:val="22"/>
          <w:szCs w:val="22"/>
        </w:rPr>
        <w:sectPr>
          <w:headerReference w:type="default" r:id="rId22"/>
          <w:footerReference w:type="default" r:id="rId23"/>
          <w:pgSz w:w="11906" w:h="16838"/>
          <w:pgMar w:top="1418" w:right="1418" w:bottom="1418" w:left="1418" w:header="709" w:footer="709" w:gutter="0"/>
          <w:cols w:space="708"/>
          <w:docGrid w:linePitch="360"/>
        </w:sectPr>
      </w:pPr>
    </w:p>
    <w:p>
      <w:pPr>
        <w:spacing w:after="120"/>
        <w:ind w:right="8165"/>
        <w:rPr>
          <w:rFonts w:ascii="Calibri" w:hAnsi="Calibri" w:cs="Calibri"/>
          <w:sz w:val="22"/>
          <w:szCs w:val="22"/>
        </w:rPr>
      </w:pPr>
      <w:r>
        <w:rPr>
          <w:rFonts w:ascii="Calibri" w:hAnsi="Calibri" w:cs="Calibri"/>
          <w:noProof/>
          <w:sz w:val="22"/>
          <w:szCs w:val="22"/>
          <w:lang w:eastAsia="fr-BE"/>
        </w:rPr>
        <w:lastRenderedPageBreak/>
        <w:drawing>
          <wp:inline distT="0" distB="0" distL="0" distR="0">
            <wp:extent cx="1424940" cy="724535"/>
            <wp:effectExtent l="0" t="0" r="3810" b="0"/>
            <wp:docPr id="5" name="Image 5" descr="Coq pau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q paulu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24940" cy="724535"/>
                    </a:xfrm>
                    <a:prstGeom prst="rect">
                      <a:avLst/>
                    </a:prstGeom>
                    <a:noFill/>
                    <a:ln>
                      <a:noFill/>
                    </a:ln>
                  </pic:spPr>
                </pic:pic>
              </a:graphicData>
            </a:graphic>
          </wp:inline>
        </w:drawing>
      </w:r>
    </w:p>
    <w:p>
      <w:pPr>
        <w:spacing w:after="120"/>
        <w:ind w:right="8165"/>
        <w:rPr>
          <w:rFonts w:ascii="Calibri" w:hAnsi="Calibri" w:cs="Calibri"/>
          <w:sz w:val="22"/>
          <w:szCs w:val="22"/>
        </w:rPr>
      </w:pPr>
    </w:p>
    <w:p>
      <w:pPr>
        <w:pBdr>
          <w:top w:val="single" w:sz="8" w:space="1" w:color="auto"/>
          <w:left w:val="single" w:sz="8" w:space="4" w:color="auto"/>
          <w:bottom w:val="single" w:sz="8" w:space="1" w:color="auto"/>
          <w:right w:val="single" w:sz="8" w:space="12" w:color="auto"/>
        </w:pBdr>
        <w:shd w:val="clear" w:color="auto" w:fill="FFFFFF"/>
        <w:spacing w:after="120"/>
        <w:ind w:right="221"/>
        <w:jc w:val="center"/>
        <w:rPr>
          <w:rFonts w:ascii="Calibri" w:hAnsi="Calibri" w:cs="Calibri"/>
          <w:b/>
          <w:smallCaps/>
          <w:sz w:val="22"/>
          <w:szCs w:val="22"/>
        </w:rPr>
      </w:pPr>
      <w:r>
        <w:rPr>
          <w:rFonts w:ascii="Calibri" w:hAnsi="Calibri" w:cs="Calibri"/>
          <w:b/>
          <w:bCs/>
          <w:smallCaps/>
          <w:sz w:val="22"/>
          <w:szCs w:val="22"/>
        </w:rPr>
        <w:t xml:space="preserve">CONVENTION BILATERALE GENERALE DE COLLABORATION ENTRE LES CENTRES DE TECHNOLOGIES AVANCEES ET LES OPERATEURS-UTILISATEURS ISSUS DES </w:t>
      </w:r>
      <w:r>
        <w:rPr>
          <w:rFonts w:ascii="Calibri" w:hAnsi="Calibri" w:cs="Calibri"/>
          <w:b/>
          <w:smallCaps/>
          <w:sz w:val="22"/>
          <w:szCs w:val="22"/>
        </w:rPr>
        <w:t>ETABLISSEMENTS D’ENSEIGNEMENT PRIMAIRE ET SECONDAIRE</w:t>
      </w:r>
    </w:p>
    <w:p>
      <w:pPr>
        <w:shd w:val="clear" w:color="auto" w:fill="FFFFFF"/>
        <w:spacing w:after="120"/>
        <w:rPr>
          <w:rFonts w:ascii="Calibri" w:hAnsi="Calibri" w:cs="Calibri"/>
          <w:sz w:val="22"/>
          <w:szCs w:val="22"/>
        </w:rPr>
      </w:pPr>
    </w:p>
    <w:p>
      <w:pPr>
        <w:shd w:val="clear" w:color="auto" w:fill="FFFFFF"/>
        <w:spacing w:after="120"/>
        <w:rPr>
          <w:rFonts w:ascii="Calibri" w:hAnsi="Calibri" w:cs="Calibri"/>
          <w:sz w:val="22"/>
          <w:szCs w:val="22"/>
        </w:rPr>
      </w:pPr>
      <w:r>
        <w:rPr>
          <w:rFonts w:ascii="Calibri" w:hAnsi="Calibri" w:cs="Calibri"/>
          <w:sz w:val="22"/>
          <w:szCs w:val="22"/>
        </w:rPr>
        <w:t>La présente convention est conclue entre :</w:t>
      </w:r>
    </w:p>
    <w:p>
      <w:pPr>
        <w:shd w:val="clear" w:color="auto" w:fill="FFFFFF"/>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jc w:val="center"/>
        <w:rPr>
          <w:rFonts w:ascii="Calibri" w:hAnsi="Calibri" w:cs="Calibri"/>
          <w:sz w:val="22"/>
          <w:szCs w:val="22"/>
        </w:rPr>
      </w:pPr>
      <w:r>
        <w:rPr>
          <w:rFonts w:ascii="Calibri" w:hAnsi="Calibri" w:cs="Calibri"/>
          <w:sz w:val="22"/>
          <w:szCs w:val="22"/>
        </w:rPr>
        <w:t>[Le Pouvoir organisateur de l’établissement où est établi le CTA]</w:t>
      </w:r>
      <w:r>
        <w:rPr>
          <w:rStyle w:val="Appelnotedebasdep"/>
          <w:rFonts w:ascii="Calibri" w:hAnsi="Calibri" w:cs="Calibri"/>
          <w:sz w:val="22"/>
          <w:szCs w:val="22"/>
        </w:rPr>
        <w:footnoteReference w:id="6"/>
      </w:r>
      <w:r>
        <w:rPr>
          <w:rFonts w:ascii="Calibri" w:hAnsi="Calibri" w:cs="Calibri"/>
          <w:sz w:val="22"/>
          <w:szCs w:val="22"/>
        </w:rPr>
        <w:t>:</w:t>
      </w: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jc w:val="center"/>
        <w:outlineLvl w:val="0"/>
        <w:rPr>
          <w:rFonts w:ascii="Calibri" w:hAnsi="Calibri" w:cs="Calibri"/>
          <w:sz w:val="22"/>
          <w:szCs w:val="22"/>
        </w:rPr>
      </w:pPr>
      <w:r>
        <w:rPr>
          <w:rFonts w:ascii="Calibri" w:hAnsi="Calibri" w:cs="Calibri"/>
          <w:sz w:val="22"/>
          <w:szCs w:val="22"/>
        </w:rPr>
        <w:t>Représenté par</w:t>
      </w:r>
      <w:r>
        <w:rPr>
          <w:rStyle w:val="Appelnotedebasdep"/>
          <w:rFonts w:ascii="Calibri" w:hAnsi="Calibri" w:cs="Calibri"/>
          <w:sz w:val="22"/>
          <w:szCs w:val="22"/>
        </w:rPr>
        <w:footnoteReference w:id="7"/>
      </w:r>
      <w:r>
        <w:rPr>
          <w:rFonts w:ascii="Calibri" w:hAnsi="Calibri" w:cs="Calibri"/>
          <w:sz w:val="22"/>
          <w:szCs w:val="22"/>
        </w:rPr>
        <w:t> :</w:t>
      </w: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spacing w:after="120"/>
        <w:jc w:val="both"/>
        <w:rPr>
          <w:rFonts w:ascii="Calibri" w:hAnsi="Calibri" w:cs="Calibri"/>
          <w:sz w:val="22"/>
          <w:szCs w:val="22"/>
        </w:rPr>
      </w:pPr>
      <w:r>
        <w:rPr>
          <w:rFonts w:ascii="Calibri" w:hAnsi="Calibri" w:cs="Calibri"/>
          <w:sz w:val="22"/>
          <w:szCs w:val="22"/>
        </w:rPr>
        <w:t>Et :</w:t>
      </w:r>
    </w:p>
    <w:p>
      <w:pPr>
        <w:pBdr>
          <w:top w:val="single" w:sz="4" w:space="1" w:color="auto"/>
          <w:left w:val="single" w:sz="4" w:space="0" w:color="auto"/>
          <w:bottom w:val="single" w:sz="4" w:space="1" w:color="auto"/>
          <w:right w:val="single" w:sz="4" w:space="4" w:color="auto"/>
        </w:pBdr>
        <w:spacing w:after="120"/>
        <w:jc w:val="center"/>
        <w:outlineLvl w:val="0"/>
        <w:rPr>
          <w:rFonts w:ascii="Calibri" w:hAnsi="Calibri" w:cs="Calibri"/>
          <w:sz w:val="22"/>
          <w:szCs w:val="22"/>
        </w:rPr>
      </w:pPr>
      <w:r>
        <w:rPr>
          <w:rFonts w:ascii="Calibri" w:hAnsi="Calibri" w:cs="Calibri"/>
          <w:sz w:val="22"/>
          <w:szCs w:val="22"/>
        </w:rPr>
        <w:t>L’opérateur-utilisateur</w:t>
      </w:r>
      <w:r>
        <w:rPr>
          <w:rStyle w:val="Appelnotedebasdep"/>
          <w:rFonts w:ascii="Calibri" w:hAnsi="Calibri" w:cs="Calibri"/>
          <w:sz w:val="22"/>
          <w:szCs w:val="22"/>
        </w:rPr>
        <w:footnoteReference w:id="8"/>
      </w:r>
      <w:r>
        <w:rPr>
          <w:rFonts w:ascii="Calibri" w:hAnsi="Calibri" w:cs="Calibri"/>
          <w:sz w:val="22"/>
          <w:szCs w:val="22"/>
        </w:rPr>
        <w:t> :</w:t>
      </w: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jc w:val="center"/>
        <w:outlineLvl w:val="0"/>
        <w:rPr>
          <w:rFonts w:ascii="Calibri" w:hAnsi="Calibri" w:cs="Calibri"/>
          <w:sz w:val="22"/>
          <w:szCs w:val="22"/>
        </w:rPr>
      </w:pPr>
      <w:r>
        <w:rPr>
          <w:rFonts w:ascii="Calibri" w:hAnsi="Calibri" w:cs="Calibri"/>
          <w:sz w:val="22"/>
          <w:szCs w:val="22"/>
        </w:rPr>
        <w:t>Représenté par</w:t>
      </w:r>
      <w:r>
        <w:rPr>
          <w:rStyle w:val="Appelnotedebasdep"/>
          <w:rFonts w:ascii="Calibri" w:hAnsi="Calibri" w:cs="Calibri"/>
          <w:sz w:val="22"/>
          <w:szCs w:val="22"/>
        </w:rPr>
        <w:footnoteReference w:id="9"/>
      </w:r>
      <w:r>
        <w:rPr>
          <w:rFonts w:ascii="Calibri" w:hAnsi="Calibri" w:cs="Calibri"/>
          <w:sz w:val="22"/>
          <w:szCs w:val="22"/>
        </w:rPr>
        <w:t> :</w:t>
      </w: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shd w:val="clear" w:color="auto" w:fill="FFFFFF"/>
        <w:spacing w:after="120"/>
        <w:rPr>
          <w:rFonts w:ascii="Calibri" w:hAnsi="Calibri" w:cs="Calibri"/>
          <w:sz w:val="22"/>
          <w:szCs w:val="22"/>
        </w:rPr>
      </w:pPr>
      <w:r>
        <w:rPr>
          <w:rFonts w:ascii="Calibri" w:hAnsi="Calibri" w:cs="Calibri"/>
          <w:b/>
          <w:bCs/>
          <w:sz w:val="22"/>
          <w:szCs w:val="22"/>
        </w:rPr>
        <w:br w:type="page"/>
      </w:r>
      <w:r>
        <w:rPr>
          <w:rFonts w:ascii="Calibri" w:hAnsi="Calibri" w:cs="Calibri"/>
          <w:b/>
          <w:bCs/>
          <w:sz w:val="22"/>
          <w:szCs w:val="22"/>
        </w:rPr>
        <w:lastRenderedPageBreak/>
        <w:t>Article 1 : Cadre légal</w:t>
      </w:r>
    </w:p>
    <w:p>
      <w:pPr>
        <w:shd w:val="clear" w:color="auto" w:fill="FFFFFF"/>
        <w:spacing w:after="240"/>
        <w:jc w:val="both"/>
        <w:rPr>
          <w:rFonts w:ascii="Calibri" w:hAnsi="Calibri" w:cs="Calibri"/>
          <w:sz w:val="22"/>
          <w:szCs w:val="22"/>
        </w:rPr>
      </w:pPr>
      <w:r>
        <w:rPr>
          <w:rFonts w:ascii="Calibri" w:hAnsi="Calibri" w:cs="Calibri"/>
          <w:sz w:val="22"/>
          <w:szCs w:val="22"/>
        </w:rPr>
        <w:t>La présente convention est conclue en application de l’article 6 du décret du 11 avril 2014 garantissant l’équipement pédagogique de l’enseignement qualifiant et fixant l’organisation des Centres de Technologies Avancées.</w:t>
      </w:r>
    </w:p>
    <w:p>
      <w:pPr>
        <w:shd w:val="clear" w:color="auto" w:fill="FFFFFF"/>
        <w:spacing w:after="120"/>
        <w:outlineLvl w:val="0"/>
        <w:rPr>
          <w:rFonts w:ascii="Calibri" w:hAnsi="Calibri" w:cs="Calibri"/>
          <w:b/>
          <w:sz w:val="22"/>
          <w:szCs w:val="22"/>
        </w:rPr>
      </w:pPr>
      <w:r>
        <w:rPr>
          <w:rFonts w:ascii="Calibri" w:hAnsi="Calibri" w:cs="Calibri"/>
          <w:b/>
          <w:bCs/>
          <w:sz w:val="22"/>
          <w:szCs w:val="22"/>
        </w:rPr>
        <w:t>Article 2 : Champ d’application</w:t>
      </w:r>
    </w:p>
    <w:p>
      <w:pPr>
        <w:shd w:val="clear" w:color="auto" w:fill="FFFFFF"/>
        <w:spacing w:after="240"/>
        <w:jc w:val="both"/>
        <w:outlineLvl w:val="0"/>
        <w:rPr>
          <w:rFonts w:ascii="Calibri" w:hAnsi="Calibri" w:cs="Calibri"/>
          <w:sz w:val="22"/>
          <w:szCs w:val="22"/>
        </w:rPr>
      </w:pPr>
      <w:r>
        <w:rPr>
          <w:rFonts w:ascii="Calibri" w:hAnsi="Calibri" w:cs="Calibri"/>
          <w:sz w:val="22"/>
          <w:szCs w:val="22"/>
        </w:rPr>
        <w:t>Cette convention s’applique aux collaborations entre les Centres de Technologies Avancées et les opérateurs-utilisateurs issus des établissements d’enseignement primaire et secondaire.</w:t>
      </w:r>
    </w:p>
    <w:p>
      <w:pPr>
        <w:shd w:val="clear" w:color="auto" w:fill="FFFFFF"/>
        <w:spacing w:after="120"/>
        <w:jc w:val="both"/>
        <w:outlineLvl w:val="0"/>
        <w:rPr>
          <w:rFonts w:ascii="Calibri" w:hAnsi="Calibri" w:cs="Calibri"/>
          <w:b/>
          <w:sz w:val="22"/>
          <w:szCs w:val="22"/>
        </w:rPr>
      </w:pPr>
      <w:r>
        <w:rPr>
          <w:rFonts w:ascii="Calibri" w:hAnsi="Calibri" w:cs="Calibri"/>
          <w:b/>
          <w:bCs/>
          <w:sz w:val="22"/>
          <w:szCs w:val="22"/>
        </w:rPr>
        <w:t>Article 3 : Définitions</w:t>
      </w:r>
    </w:p>
    <w:p>
      <w:pPr>
        <w:shd w:val="clear" w:color="auto" w:fill="FFFFFF"/>
        <w:tabs>
          <w:tab w:val="left" w:pos="-3686"/>
        </w:tabs>
        <w:spacing w:after="120"/>
        <w:ind w:right="14"/>
        <w:jc w:val="both"/>
        <w:rPr>
          <w:rFonts w:ascii="Calibri" w:hAnsi="Calibri" w:cs="Calibri"/>
          <w:sz w:val="22"/>
          <w:szCs w:val="22"/>
        </w:rPr>
      </w:pPr>
      <w:r>
        <w:rPr>
          <w:rFonts w:ascii="Calibri" w:hAnsi="Calibri" w:cs="Calibri"/>
          <w:sz w:val="22"/>
          <w:szCs w:val="22"/>
        </w:rPr>
        <w:t>Pour l’application de la présente convention, il y a lieu d’entendre par :</w:t>
      </w:r>
    </w:p>
    <w:p>
      <w:pPr>
        <w:numPr>
          <w:ilvl w:val="0"/>
          <w:numId w:val="63"/>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u w:val="single"/>
        </w:rPr>
        <w:t>« Centre de technologies avancées » (en abrégé « CTA »)</w:t>
      </w:r>
      <w:r>
        <w:rPr>
          <w:rFonts w:ascii="Calibri" w:hAnsi="Calibri" w:cs="Calibri"/>
          <w:sz w:val="22"/>
          <w:szCs w:val="22"/>
        </w:rPr>
        <w:t> : infrastructure mettant des équipements de pointe à disposition des élèves et des enseignants, quels que soient le réseau et le caractère d'enseignement, ainsi que des apprentis, des demandeurs d'emploi et des travailleurs, en vue de développer des formations qualifiantes ;</w:t>
      </w:r>
    </w:p>
    <w:p>
      <w:pPr>
        <w:numPr>
          <w:ilvl w:val="0"/>
          <w:numId w:val="63"/>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u w:val="single"/>
        </w:rPr>
        <w:t>« Opérateur-utilisateur »</w:t>
      </w:r>
      <w:r>
        <w:rPr>
          <w:rFonts w:ascii="Calibri" w:hAnsi="Calibri" w:cs="Calibri"/>
          <w:sz w:val="22"/>
          <w:szCs w:val="22"/>
        </w:rPr>
        <w:t> : établissements d’enseignement obligatoire (dernier cycle de l’enseignement primaire ; premier cycle de l’enseignement secondaire ; 4</w:t>
      </w:r>
      <w:r>
        <w:rPr>
          <w:rFonts w:ascii="Calibri" w:hAnsi="Calibri" w:cs="Calibri"/>
          <w:sz w:val="22"/>
          <w:szCs w:val="22"/>
          <w:vertAlign w:val="superscript"/>
        </w:rPr>
        <w:t>e</w:t>
      </w:r>
      <w:r>
        <w:rPr>
          <w:rFonts w:ascii="Calibri" w:hAnsi="Calibri" w:cs="Calibri"/>
          <w:sz w:val="22"/>
          <w:szCs w:val="22"/>
        </w:rPr>
        <w:t xml:space="preserve"> année secondaire organisée sous le régime de la CPU ; 3</w:t>
      </w:r>
      <w:r>
        <w:rPr>
          <w:rFonts w:ascii="Calibri" w:hAnsi="Calibri" w:cs="Calibri"/>
          <w:sz w:val="22"/>
          <w:szCs w:val="22"/>
          <w:vertAlign w:val="superscript"/>
        </w:rPr>
        <w:t>e</w:t>
      </w:r>
      <w:r>
        <w:rPr>
          <w:rFonts w:ascii="Calibri" w:hAnsi="Calibri" w:cs="Calibri"/>
          <w:sz w:val="22"/>
          <w:szCs w:val="22"/>
        </w:rPr>
        <w:t xml:space="preserve"> et 4</w:t>
      </w:r>
      <w:r>
        <w:rPr>
          <w:rFonts w:ascii="Calibri" w:hAnsi="Calibri" w:cs="Calibri"/>
          <w:sz w:val="22"/>
          <w:szCs w:val="22"/>
          <w:vertAlign w:val="superscript"/>
        </w:rPr>
        <w:t>e</w:t>
      </w:r>
      <w:r>
        <w:rPr>
          <w:rFonts w:ascii="Calibri" w:hAnsi="Calibri" w:cs="Calibri"/>
          <w:sz w:val="22"/>
          <w:szCs w:val="22"/>
        </w:rPr>
        <w:t xml:space="preserve"> degré de la section de qualification de l’enseignement secondaire ordinaire, de plein exercice ou en alternance ; 3</w:t>
      </w:r>
      <w:r>
        <w:rPr>
          <w:rFonts w:ascii="Calibri" w:hAnsi="Calibri" w:cs="Calibri"/>
          <w:sz w:val="22"/>
          <w:szCs w:val="22"/>
          <w:vertAlign w:val="superscript"/>
        </w:rPr>
        <w:t>e</w:t>
      </w:r>
      <w:r>
        <w:rPr>
          <w:rFonts w:ascii="Calibri" w:hAnsi="Calibri" w:cs="Calibri"/>
          <w:sz w:val="22"/>
          <w:szCs w:val="22"/>
        </w:rPr>
        <w:t xml:space="preserve"> degré de la section de qualification de l’enseignement secondaire spécialisé de forme 4, de plein exercice et en alternance ; 3</w:t>
      </w:r>
      <w:r>
        <w:rPr>
          <w:rFonts w:ascii="Calibri" w:hAnsi="Calibri" w:cs="Calibri"/>
          <w:sz w:val="22"/>
          <w:szCs w:val="22"/>
          <w:vertAlign w:val="superscript"/>
        </w:rPr>
        <w:t>e</w:t>
      </w:r>
      <w:r>
        <w:rPr>
          <w:rFonts w:ascii="Calibri" w:hAnsi="Calibri" w:cs="Calibri"/>
          <w:sz w:val="22"/>
          <w:szCs w:val="22"/>
        </w:rPr>
        <w:t xml:space="preserve"> phase de l’enseignement secondaire spécialisé de forme 3, de plein exercice et en alternance ; 3</w:t>
      </w:r>
      <w:r>
        <w:rPr>
          <w:rFonts w:ascii="Calibri" w:hAnsi="Calibri" w:cs="Calibri"/>
          <w:sz w:val="22"/>
          <w:szCs w:val="22"/>
          <w:vertAlign w:val="superscript"/>
        </w:rPr>
        <w:t>e</w:t>
      </w:r>
      <w:r>
        <w:rPr>
          <w:rFonts w:ascii="Calibri" w:hAnsi="Calibri" w:cs="Calibri"/>
          <w:sz w:val="22"/>
          <w:szCs w:val="22"/>
        </w:rPr>
        <w:t xml:space="preserve"> degré de l’enseignement technique de la section transition de l’enseignement secondaire ordinaire) ;</w:t>
      </w:r>
    </w:p>
    <w:p>
      <w:pPr>
        <w:numPr>
          <w:ilvl w:val="0"/>
          <w:numId w:val="63"/>
        </w:numPr>
        <w:shd w:val="clear" w:color="auto" w:fill="FFFFFF"/>
        <w:spacing w:after="120"/>
        <w:ind w:left="426"/>
        <w:jc w:val="both"/>
        <w:rPr>
          <w:rFonts w:ascii="Calibri" w:hAnsi="Calibri" w:cs="Calibri"/>
          <w:sz w:val="22"/>
          <w:szCs w:val="22"/>
        </w:rPr>
      </w:pPr>
      <w:r>
        <w:rPr>
          <w:rFonts w:ascii="Calibri" w:hAnsi="Calibri" w:cs="Calibri"/>
          <w:sz w:val="22"/>
          <w:szCs w:val="22"/>
          <w:u w:val="single"/>
        </w:rPr>
        <w:t>« Stagiaires »</w:t>
      </w:r>
      <w:r>
        <w:rPr>
          <w:rFonts w:ascii="Calibri" w:hAnsi="Calibri" w:cs="Calibri"/>
          <w:sz w:val="22"/>
          <w:szCs w:val="22"/>
        </w:rPr>
        <w:t> : élèves du dernier cycle de l’enseignement primaire, élèves du premier degré d’enseignement secondaire, élèves de l’enseignement secondaire qualifiant (4</w:t>
      </w:r>
      <w:r>
        <w:rPr>
          <w:rFonts w:ascii="Calibri" w:hAnsi="Calibri" w:cs="Calibri"/>
          <w:sz w:val="22"/>
          <w:szCs w:val="22"/>
          <w:vertAlign w:val="superscript"/>
        </w:rPr>
        <w:t>e</w:t>
      </w:r>
      <w:r>
        <w:rPr>
          <w:rFonts w:ascii="Calibri" w:hAnsi="Calibri" w:cs="Calibri"/>
          <w:sz w:val="22"/>
          <w:szCs w:val="22"/>
        </w:rPr>
        <w:t xml:space="preserve"> année de l’enseignement secondaire organisée sous le régime de la CPU, 3</w:t>
      </w:r>
      <w:r>
        <w:rPr>
          <w:rFonts w:ascii="Calibri" w:hAnsi="Calibri" w:cs="Calibri"/>
          <w:sz w:val="22"/>
          <w:szCs w:val="22"/>
          <w:vertAlign w:val="superscript"/>
        </w:rPr>
        <w:t>e</w:t>
      </w:r>
      <w:r>
        <w:rPr>
          <w:rFonts w:ascii="Calibri" w:hAnsi="Calibri" w:cs="Calibri"/>
          <w:sz w:val="22"/>
          <w:szCs w:val="22"/>
        </w:rPr>
        <w:t xml:space="preserve"> et 4</w:t>
      </w:r>
      <w:r>
        <w:rPr>
          <w:rFonts w:ascii="Calibri" w:hAnsi="Calibri" w:cs="Calibri"/>
          <w:sz w:val="22"/>
          <w:szCs w:val="22"/>
          <w:vertAlign w:val="superscript"/>
        </w:rPr>
        <w:t>e</w:t>
      </w:r>
      <w:r>
        <w:rPr>
          <w:rFonts w:ascii="Calibri" w:hAnsi="Calibri" w:cs="Calibri"/>
          <w:sz w:val="22"/>
          <w:szCs w:val="22"/>
        </w:rPr>
        <w:t xml:space="preserve"> degré de la section de qualification de l’enseignement secondaire ordinaire, de plein exercice ou en alternance, du 3</w:t>
      </w:r>
      <w:r>
        <w:rPr>
          <w:rFonts w:ascii="Calibri" w:hAnsi="Calibri" w:cs="Calibri"/>
          <w:sz w:val="22"/>
          <w:szCs w:val="22"/>
          <w:vertAlign w:val="superscript"/>
        </w:rPr>
        <w:t>e</w:t>
      </w:r>
      <w:r>
        <w:rPr>
          <w:rFonts w:ascii="Calibri" w:hAnsi="Calibri" w:cs="Calibri"/>
          <w:sz w:val="22"/>
          <w:szCs w:val="22"/>
        </w:rPr>
        <w:t xml:space="preserve"> degré de la section de qualification de l’enseignement secondaire spécialisé de forme 4, de plein exercice et en alternance et de la 3</w:t>
      </w:r>
      <w:r>
        <w:rPr>
          <w:rFonts w:ascii="Calibri" w:hAnsi="Calibri" w:cs="Calibri"/>
          <w:sz w:val="22"/>
          <w:szCs w:val="22"/>
          <w:vertAlign w:val="superscript"/>
        </w:rPr>
        <w:t>e</w:t>
      </w:r>
      <w:r>
        <w:rPr>
          <w:rFonts w:ascii="Calibri" w:hAnsi="Calibri" w:cs="Calibri"/>
          <w:sz w:val="22"/>
          <w:szCs w:val="22"/>
        </w:rPr>
        <w:t xml:space="preserve"> phase de l’enseignement secondaire spécialisé de forme 3, de plein exercice et en alternance) et élèves du 3</w:t>
      </w:r>
      <w:r>
        <w:rPr>
          <w:rFonts w:ascii="Calibri" w:hAnsi="Calibri" w:cs="Calibri"/>
          <w:sz w:val="22"/>
          <w:szCs w:val="22"/>
          <w:vertAlign w:val="superscript"/>
        </w:rPr>
        <w:t>e</w:t>
      </w:r>
      <w:r>
        <w:rPr>
          <w:rFonts w:ascii="Calibri" w:hAnsi="Calibri" w:cs="Calibri"/>
          <w:sz w:val="22"/>
          <w:szCs w:val="22"/>
        </w:rPr>
        <w:t xml:space="preserve"> degré de l’enseignement technique de la section transition de l’enseignement secondaire ordinaire ;</w:t>
      </w:r>
    </w:p>
    <w:p>
      <w:pPr>
        <w:numPr>
          <w:ilvl w:val="0"/>
          <w:numId w:val="63"/>
        </w:numPr>
        <w:shd w:val="clear" w:color="auto" w:fill="FFFFFF"/>
        <w:spacing w:after="240"/>
        <w:ind w:left="426"/>
        <w:jc w:val="both"/>
        <w:rPr>
          <w:rFonts w:ascii="Calibri" w:hAnsi="Calibri" w:cs="Calibri"/>
          <w:sz w:val="22"/>
          <w:szCs w:val="22"/>
        </w:rPr>
      </w:pPr>
      <w:r>
        <w:rPr>
          <w:rFonts w:ascii="Calibri" w:hAnsi="Calibri" w:cs="Calibri"/>
          <w:sz w:val="22"/>
          <w:szCs w:val="22"/>
          <w:u w:val="single"/>
        </w:rPr>
        <w:t>« Enseignants-formateurs »</w:t>
      </w:r>
      <w:r>
        <w:rPr>
          <w:rFonts w:ascii="Calibri" w:hAnsi="Calibri" w:cs="Calibri"/>
          <w:sz w:val="22"/>
          <w:szCs w:val="22"/>
        </w:rPr>
        <w:t> : enseignants ou formateurs désignés par les établissements d’enseignement obligatoire dans le but de former les élèves au sein d’un CTA.</w:t>
      </w:r>
    </w:p>
    <w:p>
      <w:pPr>
        <w:shd w:val="clear" w:color="auto" w:fill="FFFFFF"/>
        <w:spacing w:after="120"/>
        <w:outlineLvl w:val="0"/>
        <w:rPr>
          <w:rFonts w:ascii="Calibri" w:hAnsi="Calibri" w:cs="Calibri"/>
          <w:b/>
          <w:bCs/>
          <w:sz w:val="22"/>
          <w:szCs w:val="22"/>
        </w:rPr>
      </w:pPr>
      <w:r>
        <w:rPr>
          <w:rFonts w:ascii="Calibri" w:hAnsi="Calibri" w:cs="Calibri"/>
          <w:b/>
          <w:bCs/>
          <w:sz w:val="22"/>
          <w:szCs w:val="22"/>
        </w:rPr>
        <w:t>Article 4 : Engagements généraux des partenaires</w:t>
      </w:r>
    </w:p>
    <w:p>
      <w:pPr>
        <w:shd w:val="clear" w:color="auto" w:fill="FFFFFF"/>
        <w:spacing w:after="120"/>
        <w:rPr>
          <w:rFonts w:ascii="Calibri" w:hAnsi="Calibri" w:cs="Calibri"/>
          <w:sz w:val="22"/>
          <w:szCs w:val="22"/>
        </w:rPr>
      </w:pPr>
      <w:r>
        <w:rPr>
          <w:rFonts w:ascii="Calibri" w:hAnsi="Calibri" w:cs="Calibri"/>
          <w:sz w:val="22"/>
          <w:szCs w:val="22"/>
        </w:rPr>
        <w:t xml:space="preserve">§1. </w:t>
      </w:r>
      <w:r>
        <w:rPr>
          <w:rFonts w:ascii="Calibri" w:hAnsi="Calibri" w:cs="Calibri"/>
          <w:sz w:val="22"/>
          <w:szCs w:val="22"/>
          <w:u w:val="single"/>
        </w:rPr>
        <w:t>Engagements du Pouvoir organisateur auprès duquel est établi le CTA</w:t>
      </w:r>
      <w:r>
        <w:rPr>
          <w:rFonts w:ascii="Calibri" w:hAnsi="Calibri" w:cs="Calibri"/>
          <w:sz w:val="22"/>
          <w:szCs w:val="22"/>
        </w:rPr>
        <w:t xml:space="preserve"> :</w:t>
      </w:r>
    </w:p>
    <w:p>
      <w:pPr>
        <w:numPr>
          <w:ilvl w:val="0"/>
          <w:numId w:val="64"/>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rPr>
        <w:t>Le CTA accueille sans discrimination les élèves et les enseignants issus des établissements d'enseignement obligatoire (dernier cycle de l’enseignement primaire ; premier cycle de l’enseignement secondaire ; 4</w:t>
      </w:r>
      <w:r>
        <w:rPr>
          <w:rFonts w:ascii="Calibri" w:hAnsi="Calibri" w:cs="Calibri"/>
          <w:sz w:val="22"/>
          <w:szCs w:val="22"/>
          <w:vertAlign w:val="superscript"/>
        </w:rPr>
        <w:t>e</w:t>
      </w:r>
      <w:r>
        <w:rPr>
          <w:rFonts w:ascii="Calibri" w:hAnsi="Calibri" w:cs="Calibri"/>
          <w:sz w:val="22"/>
          <w:szCs w:val="22"/>
        </w:rPr>
        <w:t xml:space="preserve"> année de l’enseignement secondaire organisée sous le régime de la CPU ; 3e et 4e degré de la section de qualification de l’enseignement secondaire ordinaire, de plein exercice ou en alternance ; 3e degré de la section de qualification de l’enseignement secondaire spécialisé de forme 4, de plein exercice et en alternance ; 3e phase de l’enseignement secondaire spécialisé de forme 3, de plein exercice et en alternance ; 3e degré de l’enseignement technique de la section transition de l’enseignement secondaire ordinaire) ;</w:t>
      </w:r>
    </w:p>
    <w:p>
      <w:pPr>
        <w:numPr>
          <w:ilvl w:val="0"/>
          <w:numId w:val="64"/>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rPr>
        <w:t>Le CTA met à disposition de l’opérateur-utilisateur l'infrastructure, les locaux équipés, le matériel didactique nécessaire au déroulement des formations ainsi que le personnel administratif de liaison. Ces équipements doivent être en parfait ordre de marche et respecter toutes les normes légales (sécurité, environnement, etc.).</w:t>
      </w:r>
      <w:r>
        <w:rPr>
          <w:rFonts w:ascii="Calibri" w:hAnsi="Calibri" w:cs="Calibri"/>
          <w:sz w:val="22"/>
          <w:szCs w:val="22"/>
        </w:rPr>
        <w:br w:type="page"/>
      </w:r>
    </w:p>
    <w:p>
      <w:pPr>
        <w:numPr>
          <w:ilvl w:val="0"/>
          <w:numId w:val="64"/>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rPr>
        <w:lastRenderedPageBreak/>
        <w:t>Le CTA s’engage à ne pas utiliser les informations personnelles transmises par l’opérateur-utilisateur à des fins publicitaires ou commerciales.</w:t>
      </w:r>
    </w:p>
    <w:p>
      <w:pPr>
        <w:shd w:val="clear" w:color="auto" w:fill="FFFFFF"/>
        <w:spacing w:after="120"/>
        <w:jc w:val="both"/>
        <w:rPr>
          <w:rFonts w:ascii="Calibri" w:hAnsi="Calibri" w:cs="Calibri"/>
          <w:sz w:val="22"/>
          <w:szCs w:val="22"/>
        </w:rPr>
      </w:pPr>
      <w:r>
        <w:rPr>
          <w:rFonts w:ascii="Calibri" w:hAnsi="Calibri" w:cs="Calibri"/>
          <w:sz w:val="22"/>
          <w:szCs w:val="22"/>
        </w:rPr>
        <w:t xml:space="preserve">§2. </w:t>
      </w:r>
      <w:r>
        <w:rPr>
          <w:rFonts w:ascii="Calibri" w:hAnsi="Calibri" w:cs="Calibri"/>
          <w:sz w:val="22"/>
          <w:szCs w:val="22"/>
          <w:u w:val="single"/>
        </w:rPr>
        <w:t xml:space="preserve">Engagements de l’opérateur-utilisateur </w:t>
      </w:r>
      <w:r>
        <w:rPr>
          <w:rFonts w:ascii="Calibri" w:hAnsi="Calibri" w:cs="Calibri"/>
          <w:sz w:val="22"/>
          <w:szCs w:val="22"/>
        </w:rPr>
        <w:t>:</w:t>
      </w:r>
    </w:p>
    <w:p>
      <w:pPr>
        <w:widowControl w:val="0"/>
        <w:numPr>
          <w:ilvl w:val="0"/>
          <w:numId w:val="65"/>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 charge de demander l’accès aux équipements du CTA auprès du coordonnateur de ce dernier qui établit, avec l’opérateur-utilisateur, un calendrier de travail.</w:t>
      </w:r>
    </w:p>
    <w:p>
      <w:pPr>
        <w:widowControl w:val="0"/>
        <w:numPr>
          <w:ilvl w:val="0"/>
          <w:numId w:val="65"/>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faire encadrer les stagiaires par des enseignants-formateurs pouvant attester d’une maitrise des équipements mis à disposition par le CTA, soit au moyen d’une attestation délivrée soit au terme d’une formation préalable, soit en raison d’une expérience professionnelle suffisante ;</w:t>
      </w:r>
    </w:p>
    <w:p>
      <w:pPr>
        <w:widowControl w:val="0"/>
        <w:numPr>
          <w:ilvl w:val="0"/>
          <w:numId w:val="65"/>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Les stagiaires et les enseignants-formateurs de l'opérateur-utilisateur s’engagent à respecter les dispositions du règlement d'ordre intérieur du CTA pendant toute la durée de la formation ;</w:t>
      </w:r>
    </w:p>
    <w:p>
      <w:pPr>
        <w:widowControl w:val="0"/>
        <w:numPr>
          <w:ilvl w:val="0"/>
          <w:numId w:val="65"/>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utiliser en bon père de famille les équipements mis à sa disposition par le CTA ;</w:t>
      </w:r>
    </w:p>
    <w:p>
      <w:pPr>
        <w:widowControl w:val="0"/>
        <w:numPr>
          <w:ilvl w:val="0"/>
          <w:numId w:val="65"/>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fournir au coordonnateur du CTA, au plus tard le premier jour de la formation, une liste complète des stagiaires et des enseignants-formateurs inscrits aux formations et la preuve que ceux-ci sont assurés pendant toute la durée de la formation. La liste comprendra les noms, prénoms et dates de naissance de chacun des stagiaires et de chacun des enseignants-formateurs. La transmission de ces informations est contractuelle. La non transmission de ces informations peut entraîner l’annulation de la formation ;</w:t>
      </w:r>
    </w:p>
    <w:p>
      <w:pPr>
        <w:widowControl w:val="0"/>
        <w:numPr>
          <w:ilvl w:val="0"/>
          <w:numId w:val="65"/>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expliquer aux stagiaires qu’il envoie en formation au sein du CTA l’utilisation faite des données personnelles fournies au coordonnateur du centre avant chaque formation (voir article 8), ainsi que leur droit de demander au responsable du traitement final la rectification ou l'effacement de données à caractère personnel, ou une limitation du traitement des données à caractère personnel relatives à la personne concernée, leur droit de s'opposer à ce traitement et leur droit d'introduire une réclamation auprès d'une autorité de contrôle ;</w:t>
      </w:r>
    </w:p>
    <w:p>
      <w:pPr>
        <w:widowControl w:val="0"/>
        <w:numPr>
          <w:ilvl w:val="0"/>
          <w:numId w:val="65"/>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L'opérateur-utilisateur s’engage à assurer l’organisation et le contrôle du transport et de l'hébergement des stagiaires et des enseignants-formateurs ;</w:t>
      </w:r>
    </w:p>
    <w:p>
      <w:pPr>
        <w:widowControl w:val="0"/>
        <w:numPr>
          <w:ilvl w:val="0"/>
          <w:numId w:val="65"/>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Dans le cas où l'opérateur-utilisateur voudrait réaliser et emporter un produit fini, il est tenu d'en informer le coordonnateur du CTA lors de sa demande d'accès au CTA. Celui-ci se réserve néanmoins le droit de ne pas accéder à cette requête</w:t>
      </w:r>
      <w:r>
        <w:rPr>
          <w:rStyle w:val="Appelnotedebasdep"/>
          <w:rFonts w:ascii="Calibri" w:hAnsi="Calibri" w:cs="Calibri"/>
          <w:sz w:val="22"/>
          <w:szCs w:val="22"/>
        </w:rPr>
        <w:footnoteReference w:id="10"/>
      </w:r>
      <w:r>
        <w:rPr>
          <w:rFonts w:ascii="Calibri" w:hAnsi="Calibri" w:cs="Calibri"/>
          <w:sz w:val="22"/>
          <w:szCs w:val="22"/>
        </w:rPr>
        <w:t> ;</w:t>
      </w:r>
    </w:p>
    <w:p>
      <w:pPr>
        <w:numPr>
          <w:ilvl w:val="0"/>
          <w:numId w:val="65"/>
        </w:numPr>
        <w:shd w:val="clear" w:color="auto" w:fill="FFFFFF"/>
        <w:spacing w:after="240"/>
        <w:ind w:left="426"/>
        <w:jc w:val="both"/>
        <w:rPr>
          <w:rFonts w:ascii="Calibri" w:hAnsi="Calibri" w:cs="Calibri"/>
          <w:sz w:val="22"/>
          <w:szCs w:val="22"/>
        </w:rPr>
      </w:pPr>
      <w:r>
        <w:rPr>
          <w:rFonts w:ascii="Calibri" w:hAnsi="Calibri" w:cs="Calibri"/>
          <w:sz w:val="22"/>
          <w:szCs w:val="22"/>
        </w:rPr>
        <w:t>L’opérateur-utilisateur s’engage à participer à l’évaluation des CTA s’il est sollicité à cet égard.</w:t>
      </w:r>
    </w:p>
    <w:p>
      <w:pPr>
        <w:shd w:val="clear" w:color="auto" w:fill="FFFFFF"/>
        <w:spacing w:after="120"/>
        <w:rPr>
          <w:rFonts w:ascii="Calibri" w:hAnsi="Calibri" w:cs="Calibri"/>
          <w:b/>
          <w:bCs/>
          <w:sz w:val="22"/>
          <w:szCs w:val="22"/>
        </w:rPr>
      </w:pPr>
      <w:r>
        <w:rPr>
          <w:rFonts w:ascii="Calibri" w:hAnsi="Calibri" w:cs="Calibri"/>
          <w:b/>
          <w:bCs/>
          <w:sz w:val="22"/>
          <w:szCs w:val="22"/>
        </w:rPr>
        <w:t>Article 5 : Organisation de la formation</w:t>
      </w:r>
    </w:p>
    <w:p>
      <w:pPr>
        <w:shd w:val="clear" w:color="auto" w:fill="FFFFFF"/>
        <w:spacing w:after="120"/>
        <w:ind w:right="36"/>
        <w:jc w:val="both"/>
        <w:rPr>
          <w:rFonts w:ascii="Calibri" w:hAnsi="Calibri" w:cs="Calibri"/>
          <w:sz w:val="22"/>
          <w:szCs w:val="22"/>
        </w:rPr>
      </w:pPr>
      <w:r>
        <w:rPr>
          <w:rFonts w:ascii="Calibri" w:hAnsi="Calibri" w:cs="Calibri"/>
          <w:sz w:val="22"/>
          <w:szCs w:val="22"/>
        </w:rPr>
        <w:t xml:space="preserve">Chaque formation peut faire l'objet d'une convention spécifique entre le CTA et l'opérateur-utilisateur précisant l'intitulé de la formation, les dates de formation, le nombre d'heures de formation, le nombre de stagiaires concernés. </w:t>
      </w:r>
    </w:p>
    <w:p>
      <w:pPr>
        <w:spacing w:after="120"/>
        <w:jc w:val="both"/>
        <w:rPr>
          <w:rFonts w:ascii="Calibri" w:hAnsi="Calibri" w:cs="Calibri"/>
          <w:sz w:val="22"/>
          <w:szCs w:val="22"/>
        </w:rPr>
      </w:pPr>
      <w:r>
        <w:rPr>
          <w:rFonts w:ascii="Calibri" w:hAnsi="Calibri" w:cs="Calibri"/>
          <w:sz w:val="22"/>
          <w:szCs w:val="22"/>
        </w:rPr>
        <w:t xml:space="preserve">Dans tous les cas, l’opérateur utilisateur s’engage à fournir au CTA la liste des participants ainsi que l’identité du formateur </w:t>
      </w:r>
      <w:r>
        <w:rPr>
          <w:rFonts w:ascii="Calibri" w:hAnsi="Calibri" w:cs="Calibri"/>
          <w:b/>
          <w:sz w:val="22"/>
          <w:szCs w:val="22"/>
          <w:u w:val="single"/>
        </w:rPr>
        <w:t>au plus tard le premier jour de la formation</w:t>
      </w:r>
      <w:r>
        <w:rPr>
          <w:rFonts w:ascii="Calibri" w:hAnsi="Calibri" w:cs="Calibri"/>
          <w:sz w:val="22"/>
          <w:szCs w:val="22"/>
        </w:rPr>
        <w:t>. Le CTA doit quant à lui obligatoirement communiquer les renseignements suivants aux futurs utilisateurs avant le début de la formation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 xml:space="preserve">le règlement d’ordre intérieur du CTA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le programme de la formation</w:t>
      </w:r>
      <w:r>
        <w:rPr>
          <w:rFonts w:ascii="Calibri" w:hAnsi="Calibri" w:cs="Calibri"/>
          <w:sz w:val="22"/>
          <w:szCs w:val="22"/>
        </w:rPr>
        <w:br w:type="page"/>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lastRenderedPageBreak/>
        <w:t xml:space="preserve">l’analyse des risques pour les équipements proposés </w:t>
      </w:r>
    </w:p>
    <w:p>
      <w:pPr>
        <w:shd w:val="clear" w:color="auto" w:fill="FFFFFF"/>
        <w:spacing w:after="240"/>
        <w:ind w:right="34"/>
        <w:jc w:val="both"/>
        <w:rPr>
          <w:rFonts w:ascii="Calibri" w:hAnsi="Calibri" w:cs="Calibri"/>
          <w:sz w:val="22"/>
          <w:szCs w:val="22"/>
        </w:rPr>
      </w:pPr>
      <w:r>
        <w:rPr>
          <w:rFonts w:ascii="Calibri" w:hAnsi="Calibri" w:cs="Calibri"/>
          <w:sz w:val="22"/>
          <w:szCs w:val="22"/>
        </w:rPr>
        <w:t>Un état des lieux est établi avant le début du cycle de chaque formation. En cas de constatation de dysfonctionnement des équipements, l'opérateur-utilisateur signalera la chose avant le début de la formation.</w:t>
      </w:r>
    </w:p>
    <w:p>
      <w:pPr>
        <w:widowControl w:val="0"/>
        <w:shd w:val="clear" w:color="auto" w:fill="FFFFFF"/>
        <w:autoSpaceDE w:val="0"/>
        <w:autoSpaceDN w:val="0"/>
        <w:adjustRightInd w:val="0"/>
        <w:spacing w:after="120"/>
        <w:ind w:right="6"/>
        <w:jc w:val="both"/>
        <w:rPr>
          <w:rFonts w:ascii="Calibri" w:hAnsi="Calibri" w:cs="Calibri"/>
          <w:b/>
          <w:bCs/>
          <w:sz w:val="22"/>
          <w:szCs w:val="22"/>
        </w:rPr>
      </w:pPr>
      <w:r>
        <w:rPr>
          <w:rFonts w:ascii="Calibri" w:hAnsi="Calibri" w:cs="Calibri"/>
          <w:b/>
          <w:bCs/>
          <w:sz w:val="22"/>
          <w:szCs w:val="22"/>
        </w:rPr>
        <w:t>Article 6 : Responsabilités des partenaires</w:t>
      </w:r>
    </w:p>
    <w:p>
      <w:pPr>
        <w:widowControl w:val="0"/>
        <w:shd w:val="clear" w:color="auto" w:fill="FFFFFF"/>
        <w:autoSpaceDE w:val="0"/>
        <w:autoSpaceDN w:val="0"/>
        <w:adjustRightInd w:val="0"/>
        <w:spacing w:after="120"/>
        <w:ind w:right="18"/>
        <w:jc w:val="both"/>
        <w:rPr>
          <w:rFonts w:ascii="Calibri" w:hAnsi="Calibri" w:cs="Calibri"/>
          <w:sz w:val="22"/>
          <w:szCs w:val="22"/>
        </w:rPr>
      </w:pPr>
      <w:r>
        <w:rPr>
          <w:rFonts w:ascii="Calibri" w:hAnsi="Calibri" w:cs="Calibri"/>
          <w:sz w:val="22"/>
          <w:szCs w:val="22"/>
        </w:rPr>
        <w:t>§1</w:t>
      </w:r>
      <w:r>
        <w:rPr>
          <w:rFonts w:ascii="Calibri" w:hAnsi="Calibri" w:cs="Calibri"/>
          <w:sz w:val="22"/>
          <w:szCs w:val="22"/>
          <w:vertAlign w:val="superscript"/>
        </w:rPr>
        <w:t>er</w:t>
      </w:r>
      <w:r>
        <w:rPr>
          <w:rFonts w:ascii="Calibri" w:hAnsi="Calibri" w:cs="Calibri"/>
          <w:sz w:val="22"/>
          <w:szCs w:val="22"/>
        </w:rPr>
        <w:t xml:space="preserve">. </w:t>
      </w:r>
      <w:r>
        <w:rPr>
          <w:rFonts w:ascii="Calibri" w:hAnsi="Calibri" w:cs="Calibri"/>
          <w:sz w:val="22"/>
          <w:szCs w:val="22"/>
          <w:u w:val="single"/>
        </w:rPr>
        <w:t>Responsabilités de l’opérateur-utilisateur</w:t>
      </w:r>
    </w:p>
    <w:p>
      <w:pPr>
        <w:widowControl w:val="0"/>
        <w:numPr>
          <w:ilvl w:val="0"/>
          <w:numId w:val="66"/>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 xml:space="preserve">L'opérateur-utilisateur veillera à ce que les enseignants-formateurs et les stagiaires soient couverts pour l'ensemble des risques (responsabilité civile, accidents du travail, etc.) ; </w:t>
      </w:r>
    </w:p>
    <w:p>
      <w:pPr>
        <w:widowControl w:val="0"/>
        <w:numPr>
          <w:ilvl w:val="0"/>
          <w:numId w:val="66"/>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L'opérateur-utilisateur est responsable du comportement des personnes et des dégâts éventuels causés à l'infrastructure.</w:t>
      </w:r>
    </w:p>
    <w:p>
      <w:pPr>
        <w:widowControl w:val="0"/>
        <w:shd w:val="clear" w:color="auto" w:fill="FFFFFF"/>
        <w:autoSpaceDE w:val="0"/>
        <w:autoSpaceDN w:val="0"/>
        <w:adjustRightInd w:val="0"/>
        <w:spacing w:after="120"/>
        <w:ind w:right="18"/>
        <w:jc w:val="both"/>
        <w:rPr>
          <w:rFonts w:ascii="Calibri" w:hAnsi="Calibri" w:cs="Calibri"/>
          <w:sz w:val="22"/>
          <w:szCs w:val="22"/>
        </w:rPr>
      </w:pPr>
      <w:r>
        <w:rPr>
          <w:rFonts w:ascii="Calibri" w:hAnsi="Calibri" w:cs="Calibri"/>
          <w:sz w:val="22"/>
          <w:szCs w:val="22"/>
        </w:rPr>
        <w:t xml:space="preserve">§2. </w:t>
      </w:r>
      <w:r>
        <w:rPr>
          <w:rFonts w:ascii="Calibri" w:hAnsi="Calibri" w:cs="Calibri"/>
          <w:sz w:val="22"/>
          <w:szCs w:val="22"/>
          <w:u w:val="single"/>
        </w:rPr>
        <w:t>Responsabilités du CTA</w:t>
      </w:r>
    </w:p>
    <w:p>
      <w:pPr>
        <w:widowControl w:val="0"/>
        <w:shd w:val="clear" w:color="auto" w:fill="FFFFFF"/>
        <w:autoSpaceDE w:val="0"/>
        <w:autoSpaceDN w:val="0"/>
        <w:adjustRightInd w:val="0"/>
        <w:spacing w:after="240"/>
        <w:ind w:right="17"/>
        <w:jc w:val="both"/>
        <w:rPr>
          <w:rFonts w:ascii="Calibri" w:hAnsi="Calibri" w:cs="Calibri"/>
          <w:sz w:val="22"/>
          <w:szCs w:val="22"/>
        </w:rPr>
      </w:pPr>
      <w:r>
        <w:rPr>
          <w:rFonts w:ascii="Calibri" w:hAnsi="Calibri" w:cs="Calibri"/>
          <w:sz w:val="22"/>
          <w:szCs w:val="22"/>
        </w:rPr>
        <w:t>Le CTA ne pourra être tenu responsable que pour les dommages causés par la défectuosité des bâtiments et/ou équipements mis à disposition de l’opérateur- utilisateur.</w:t>
      </w:r>
    </w:p>
    <w:p>
      <w:pPr>
        <w:spacing w:after="120"/>
        <w:jc w:val="both"/>
        <w:outlineLvl w:val="0"/>
        <w:rPr>
          <w:rFonts w:ascii="Calibri" w:hAnsi="Calibri" w:cs="Calibri"/>
          <w:b/>
          <w:bCs/>
          <w:sz w:val="22"/>
          <w:szCs w:val="22"/>
        </w:rPr>
      </w:pPr>
      <w:r>
        <w:rPr>
          <w:rFonts w:ascii="Calibri" w:hAnsi="Calibri" w:cs="Calibri"/>
          <w:b/>
          <w:bCs/>
          <w:sz w:val="22"/>
          <w:szCs w:val="22"/>
        </w:rPr>
        <w:t>Article 7 : La prise en charge des frais</w:t>
      </w:r>
    </w:p>
    <w:p>
      <w:pPr>
        <w:pStyle w:val="xmsonormal"/>
        <w:shd w:val="clear" w:color="auto" w:fill="FFFFFF"/>
        <w:spacing w:before="0" w:beforeAutospacing="0" w:after="120" w:afterAutospacing="0"/>
        <w:jc w:val="both"/>
        <w:rPr>
          <w:rFonts w:ascii="Calibri" w:hAnsi="Calibri" w:cs="Calibri"/>
          <w:sz w:val="22"/>
          <w:szCs w:val="22"/>
          <w:lang w:val="fr-BE"/>
        </w:rPr>
      </w:pPr>
      <w:r>
        <w:rPr>
          <w:rFonts w:ascii="Calibri" w:hAnsi="Calibri" w:cs="Calibri"/>
          <w:sz w:val="22"/>
          <w:szCs w:val="22"/>
          <w:lang w:val="fr-BE"/>
        </w:rPr>
        <w:t>Aucun frais de fonctionnement ni de consommables ne sera facturé à l’opérateur-utilisateur.</w:t>
      </w:r>
    </w:p>
    <w:p>
      <w:pPr>
        <w:pStyle w:val="xmsonormal"/>
        <w:shd w:val="clear" w:color="auto" w:fill="FFFFFF"/>
        <w:spacing w:before="0" w:beforeAutospacing="0" w:after="120" w:afterAutospacing="0"/>
        <w:jc w:val="both"/>
        <w:rPr>
          <w:rFonts w:ascii="Calibri" w:hAnsi="Calibri" w:cs="Calibri"/>
          <w:sz w:val="22"/>
          <w:szCs w:val="22"/>
        </w:rPr>
      </w:pPr>
      <w:r>
        <w:rPr>
          <w:rFonts w:ascii="Calibri" w:hAnsi="Calibri" w:cs="Calibri"/>
          <w:sz w:val="22"/>
          <w:szCs w:val="22"/>
          <w:lang w:val="fr-BE"/>
        </w:rPr>
        <w:t xml:space="preserve">Les frais de déplacement et les frais d’hébergement éventuels des élèves et enseignants des </w:t>
      </w:r>
      <w:r>
        <w:rPr>
          <w:rFonts w:ascii="Calibri" w:hAnsi="Calibri" w:cs="Calibri"/>
          <w:sz w:val="22"/>
          <w:szCs w:val="22"/>
        </w:rPr>
        <w:t>3</w:t>
      </w:r>
      <w:r>
        <w:rPr>
          <w:rFonts w:ascii="Calibri" w:hAnsi="Calibri" w:cs="Calibri"/>
          <w:sz w:val="22"/>
          <w:szCs w:val="22"/>
          <w:vertAlign w:val="superscript"/>
        </w:rPr>
        <w:t>e</w:t>
      </w:r>
      <w:r>
        <w:rPr>
          <w:rFonts w:ascii="Calibri" w:hAnsi="Calibri" w:cs="Calibri"/>
          <w:sz w:val="22"/>
          <w:szCs w:val="22"/>
        </w:rPr>
        <w:t xml:space="preserve"> et 4</w:t>
      </w:r>
      <w:r>
        <w:rPr>
          <w:rFonts w:ascii="Calibri" w:hAnsi="Calibri" w:cs="Calibri"/>
          <w:sz w:val="22"/>
          <w:szCs w:val="22"/>
          <w:vertAlign w:val="superscript"/>
        </w:rPr>
        <w:t>e</w:t>
      </w:r>
      <w:r>
        <w:rPr>
          <w:rFonts w:ascii="Calibri" w:hAnsi="Calibri" w:cs="Calibri"/>
          <w:sz w:val="22"/>
          <w:szCs w:val="22"/>
        </w:rPr>
        <w:t xml:space="preserve"> degré de la section de qualification de l’enseignement secondaire ordinaire, de plein exercice ou en alternance ; du 3</w:t>
      </w:r>
      <w:r>
        <w:rPr>
          <w:rFonts w:ascii="Calibri" w:hAnsi="Calibri" w:cs="Calibri"/>
          <w:sz w:val="22"/>
          <w:szCs w:val="22"/>
          <w:vertAlign w:val="superscript"/>
        </w:rPr>
        <w:t>e</w:t>
      </w:r>
      <w:r>
        <w:rPr>
          <w:rFonts w:ascii="Calibri" w:hAnsi="Calibri" w:cs="Calibri"/>
          <w:sz w:val="22"/>
          <w:szCs w:val="22"/>
        </w:rPr>
        <w:t xml:space="preserve"> degré de la section de qualification de l’enseignement secondaire spécialisé de forme 4, de plein exercice et en alternance ; de la 3</w:t>
      </w:r>
      <w:r>
        <w:rPr>
          <w:rFonts w:ascii="Calibri" w:hAnsi="Calibri" w:cs="Calibri"/>
          <w:sz w:val="22"/>
          <w:szCs w:val="22"/>
          <w:vertAlign w:val="superscript"/>
        </w:rPr>
        <w:t>e</w:t>
      </w:r>
      <w:r>
        <w:rPr>
          <w:rFonts w:ascii="Calibri" w:hAnsi="Calibri" w:cs="Calibri"/>
          <w:sz w:val="22"/>
          <w:szCs w:val="22"/>
        </w:rPr>
        <w:t xml:space="preserve"> phase de l’enseignement secondaire spécialisé de forme 3, de plein exercice et en alternance ; du 3</w:t>
      </w:r>
      <w:r>
        <w:rPr>
          <w:rFonts w:ascii="Calibri" w:hAnsi="Calibri" w:cs="Calibri"/>
          <w:sz w:val="22"/>
          <w:szCs w:val="22"/>
          <w:vertAlign w:val="superscript"/>
        </w:rPr>
        <w:t>e</w:t>
      </w:r>
      <w:r>
        <w:rPr>
          <w:rFonts w:ascii="Calibri" w:hAnsi="Calibri" w:cs="Calibri"/>
          <w:sz w:val="22"/>
          <w:szCs w:val="22"/>
        </w:rPr>
        <w:t xml:space="preserve"> degré de l’enseignement technique de la section transition de l’enseignement secondaire ordinaire seront pris en charge par la Communauté française conformément à l’article 6, § 10 du décret du 11 avril 2014.</w:t>
      </w:r>
    </w:p>
    <w:p>
      <w:pPr>
        <w:pStyle w:val="xmsonormal"/>
        <w:shd w:val="clear" w:color="auto" w:fill="FFFFFF"/>
        <w:spacing w:before="0" w:beforeAutospacing="0" w:after="240" w:afterAutospacing="0"/>
        <w:jc w:val="both"/>
        <w:rPr>
          <w:rFonts w:ascii="Calibri" w:hAnsi="Calibri" w:cs="Calibri"/>
          <w:sz w:val="22"/>
          <w:szCs w:val="22"/>
        </w:rPr>
      </w:pPr>
      <w:r>
        <w:rPr>
          <w:rFonts w:ascii="Calibri" w:hAnsi="Calibri" w:cs="Calibri"/>
          <w:sz w:val="22"/>
          <w:szCs w:val="22"/>
        </w:rPr>
        <w:t>L’organisation, les frais de déplacement et les frais d’hébergement des élèves et des enseignants du dernier cycle de l’enseignement primaire et du premier degré de l’enseignement secondaire seront pris en charge par l’opérateur-utilisateur.</w:t>
      </w:r>
    </w:p>
    <w:p>
      <w:pPr>
        <w:shd w:val="clear" w:color="auto" w:fill="FFFFFF"/>
        <w:spacing w:after="120"/>
        <w:jc w:val="both"/>
        <w:rPr>
          <w:rFonts w:ascii="Calibri" w:hAnsi="Calibri" w:cs="Calibri"/>
          <w:b/>
          <w:sz w:val="22"/>
          <w:szCs w:val="22"/>
        </w:rPr>
      </w:pPr>
      <w:r>
        <w:rPr>
          <w:rFonts w:ascii="Calibri" w:hAnsi="Calibri" w:cs="Calibri"/>
          <w:b/>
          <w:sz w:val="22"/>
          <w:szCs w:val="22"/>
        </w:rPr>
        <w:t>Article 8 : Gestion des données personnelles</w:t>
      </w:r>
    </w:p>
    <w:p>
      <w:pPr>
        <w:widowControl w:val="0"/>
        <w:shd w:val="clear" w:color="auto" w:fill="FFFFFF"/>
        <w:tabs>
          <w:tab w:val="left" w:pos="426"/>
        </w:tabs>
        <w:autoSpaceDE w:val="0"/>
        <w:autoSpaceDN w:val="0"/>
        <w:adjustRightInd w:val="0"/>
        <w:spacing w:after="120"/>
        <w:ind w:right="36"/>
        <w:jc w:val="both"/>
        <w:rPr>
          <w:rFonts w:ascii="Calibri" w:hAnsi="Calibri" w:cs="Calibri"/>
          <w:sz w:val="22"/>
          <w:szCs w:val="22"/>
        </w:rPr>
      </w:pPr>
      <w:r>
        <w:rPr>
          <w:rFonts w:ascii="Calibri" w:hAnsi="Calibri" w:cs="Calibri"/>
          <w:sz w:val="22"/>
          <w:szCs w:val="22"/>
        </w:rPr>
        <w:t>Comme mentionné à l’article 4, § 2, 5°, l’opérateur-utilisateur s’engage à fournir au coordonnateur du CTA, au plus tard le premier jour de la formation, une liste complète des stagiaires et des enseignants-formateurs inscrits aux formations. La liste comprendra les noms, prénoms, sexes et dates de naissance de chacun des stagiaires et de chacun des enseignants-formateurs.</w:t>
      </w:r>
    </w:p>
    <w:p>
      <w:pPr>
        <w:widowControl w:val="0"/>
        <w:shd w:val="clear" w:color="auto" w:fill="FFFFFF"/>
        <w:tabs>
          <w:tab w:val="left" w:pos="426"/>
        </w:tabs>
        <w:autoSpaceDE w:val="0"/>
        <w:autoSpaceDN w:val="0"/>
        <w:adjustRightInd w:val="0"/>
        <w:spacing w:after="120"/>
        <w:ind w:right="36"/>
        <w:jc w:val="both"/>
        <w:rPr>
          <w:rFonts w:ascii="Calibri" w:hAnsi="Calibri" w:cs="Calibri"/>
          <w:sz w:val="22"/>
          <w:szCs w:val="22"/>
        </w:rPr>
      </w:pPr>
      <w:r>
        <w:rPr>
          <w:rFonts w:ascii="Calibri" w:hAnsi="Calibri" w:cs="Calibri"/>
          <w:sz w:val="22"/>
          <w:szCs w:val="22"/>
        </w:rPr>
        <w:t>Ces informations sont transmises à l’administration de la Fédération Wallonie-Bruxelles afin de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Calculer la fréquentation annuelle du CTA</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Verser la subvention annuelle octroyée par le Gouvernement de la Fédération Wallonie-Bruxelles</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Vérifier si l’opérateur-utilisateur a droit ou non au remboursement d’éventuels frais de déplacement et/ou d’hébergement</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Transmettre aux Gouvernements des entités fédérées ayant conclu les accords de coopération, ainsi qu’au Fonds européen de développement régional les analyses statistiques prévues réglementairement</w:t>
      </w:r>
    </w:p>
    <w:p>
      <w:pPr>
        <w:spacing w:after="120"/>
        <w:jc w:val="both"/>
        <w:rPr>
          <w:rFonts w:ascii="Calibri" w:hAnsi="Calibri" w:cs="Calibri"/>
          <w:sz w:val="22"/>
          <w:szCs w:val="22"/>
        </w:rPr>
      </w:pPr>
      <w:r>
        <w:rPr>
          <w:rFonts w:ascii="Calibri" w:hAnsi="Calibri" w:cs="Calibri"/>
          <w:sz w:val="22"/>
          <w:szCs w:val="22"/>
        </w:rPr>
        <w:t>Toutes les informations personnelles sont anonymisées avant traitement.</w:t>
      </w:r>
    </w:p>
    <w:p>
      <w:pPr>
        <w:rPr>
          <w:rFonts w:ascii="Calibri" w:hAnsi="Calibri" w:cs="Calibri"/>
          <w:sz w:val="22"/>
          <w:szCs w:val="22"/>
        </w:rPr>
      </w:pPr>
      <w:r>
        <w:rPr>
          <w:rFonts w:ascii="Calibri" w:hAnsi="Calibri" w:cs="Calibri"/>
          <w:sz w:val="22"/>
          <w:szCs w:val="22"/>
        </w:rPr>
        <w:br w:type="page"/>
      </w:r>
    </w:p>
    <w:p>
      <w:pPr>
        <w:spacing w:after="120"/>
        <w:jc w:val="both"/>
        <w:rPr>
          <w:rFonts w:ascii="Calibri" w:hAnsi="Calibri" w:cs="Calibri"/>
          <w:sz w:val="22"/>
          <w:szCs w:val="22"/>
        </w:rPr>
      </w:pPr>
      <w:r>
        <w:rPr>
          <w:rFonts w:ascii="Calibri" w:hAnsi="Calibri" w:cs="Calibri"/>
          <w:sz w:val="22"/>
          <w:szCs w:val="22"/>
        </w:rPr>
        <w:lastRenderedPageBreak/>
        <w:t>Les données personnelles sont conservées 10 ans au sein de l’administration. Une copie est également conservée au sein du CTA durant la même période.</w:t>
      </w:r>
    </w:p>
    <w:p>
      <w:pPr>
        <w:spacing w:after="120"/>
        <w:jc w:val="both"/>
        <w:rPr>
          <w:rFonts w:ascii="Calibri" w:hAnsi="Calibri" w:cs="Calibri"/>
          <w:sz w:val="22"/>
          <w:szCs w:val="22"/>
        </w:rPr>
      </w:pPr>
      <w:r>
        <w:rPr>
          <w:rFonts w:ascii="Calibri" w:hAnsi="Calibri" w:cs="Calibri"/>
          <w:sz w:val="22"/>
          <w:szCs w:val="22"/>
        </w:rPr>
        <w:t>Aucune donnée n’est utilisée à des fins publicitaires ou commerciales.</w:t>
      </w:r>
    </w:p>
    <w:p>
      <w:pPr>
        <w:spacing w:after="120"/>
        <w:jc w:val="both"/>
        <w:rPr>
          <w:rFonts w:ascii="Calibri" w:hAnsi="Calibri" w:cs="Calibri"/>
          <w:sz w:val="22"/>
          <w:szCs w:val="22"/>
        </w:rPr>
      </w:pPr>
      <w:r>
        <w:rPr>
          <w:rFonts w:ascii="Calibri" w:hAnsi="Calibri" w:cs="Calibri"/>
          <w:sz w:val="22"/>
          <w:szCs w:val="22"/>
        </w:rPr>
        <w:t>Pour toute information complémentaire, il convient de contacter le délégué à la protection des données désigné par le Pouvoir organisateur dont dépend le CTA</w:t>
      </w:r>
    </w:p>
    <w:p>
      <w:pPr>
        <w:spacing w:after="120"/>
        <w:jc w:val="both"/>
        <w:rPr>
          <w:rFonts w:ascii="Calibri" w:hAnsi="Calibri" w:cs="Calibri"/>
          <w:b/>
          <w:sz w:val="22"/>
          <w:szCs w:val="22"/>
        </w:rPr>
      </w:pPr>
      <w:r>
        <w:rPr>
          <w:rFonts w:ascii="Calibri" w:hAnsi="Calibri" w:cs="Calibri"/>
          <w:b/>
          <w:sz w:val="22"/>
          <w:szCs w:val="22"/>
        </w:rPr>
        <w:t>Article 9 : Sanction</w:t>
      </w:r>
    </w:p>
    <w:p>
      <w:pPr>
        <w:shd w:val="clear" w:color="auto" w:fill="FFFFFF"/>
        <w:spacing w:after="240"/>
        <w:ind w:right="34"/>
        <w:jc w:val="both"/>
        <w:rPr>
          <w:rFonts w:ascii="Calibri" w:hAnsi="Calibri" w:cs="Calibri"/>
          <w:sz w:val="22"/>
          <w:szCs w:val="22"/>
        </w:rPr>
      </w:pPr>
      <w:r>
        <w:rPr>
          <w:rFonts w:ascii="Calibri" w:hAnsi="Calibri" w:cs="Calibri"/>
          <w:sz w:val="22"/>
          <w:szCs w:val="22"/>
        </w:rPr>
        <w:t>En cas d’annulation tardive et répétée de la formation réservée, le CTA se réserve le droit d’interdire son accès pendant une période déterminée et soumise à l’approbation du comité d’accompagnement.</w:t>
      </w:r>
    </w:p>
    <w:p>
      <w:pPr>
        <w:shd w:val="clear" w:color="auto" w:fill="FFFFFF"/>
        <w:spacing w:after="120"/>
        <w:outlineLvl w:val="0"/>
        <w:rPr>
          <w:rFonts w:ascii="Calibri" w:hAnsi="Calibri" w:cs="Calibri"/>
          <w:b/>
          <w:bCs/>
          <w:sz w:val="22"/>
          <w:szCs w:val="22"/>
        </w:rPr>
      </w:pPr>
      <w:r>
        <w:rPr>
          <w:rFonts w:ascii="Calibri" w:hAnsi="Calibri" w:cs="Calibri"/>
          <w:b/>
          <w:bCs/>
          <w:sz w:val="22"/>
          <w:szCs w:val="22"/>
        </w:rPr>
        <w:t>Article 10 : Durée de la convention</w:t>
      </w:r>
    </w:p>
    <w:p>
      <w:pPr>
        <w:shd w:val="clear" w:color="auto" w:fill="FFFFFF"/>
        <w:spacing w:after="120"/>
        <w:jc w:val="both"/>
        <w:rPr>
          <w:rFonts w:ascii="Calibri" w:hAnsi="Calibri" w:cs="Calibri"/>
          <w:sz w:val="22"/>
          <w:szCs w:val="22"/>
        </w:rPr>
      </w:pPr>
      <w:r>
        <w:rPr>
          <w:rFonts w:ascii="Calibri" w:hAnsi="Calibri" w:cs="Calibri"/>
          <w:sz w:val="22"/>
          <w:szCs w:val="22"/>
        </w:rPr>
        <w:t>La présente convention est conclue par année scolaire et sera reconduite tacitement l’année scolaire suivante.</w:t>
      </w:r>
    </w:p>
    <w:p>
      <w:pPr>
        <w:shd w:val="clear" w:color="auto" w:fill="FFFFFF"/>
        <w:spacing w:after="120"/>
        <w:jc w:val="both"/>
        <w:rPr>
          <w:rFonts w:ascii="Calibri" w:hAnsi="Calibri" w:cs="Calibri"/>
          <w:sz w:val="22"/>
          <w:szCs w:val="22"/>
        </w:rPr>
      </w:pPr>
      <w:r>
        <w:rPr>
          <w:rFonts w:ascii="Calibri" w:hAnsi="Calibri" w:cs="Calibri"/>
          <w:sz w:val="22"/>
          <w:szCs w:val="22"/>
        </w:rPr>
        <w:t>Elle pourra être dénoncée à la demande d’une des parties, moyennant un préavis de trois mois via l’envoi d’un recommandé.</w:t>
      </w:r>
    </w:p>
    <w:p>
      <w:pPr>
        <w:shd w:val="clear" w:color="auto" w:fill="FFFFFF"/>
        <w:tabs>
          <w:tab w:val="left" w:leader="dot" w:pos="2023"/>
        </w:tabs>
        <w:spacing w:after="120"/>
        <w:jc w:val="both"/>
        <w:rPr>
          <w:rFonts w:ascii="Calibri" w:hAnsi="Calibri" w:cs="Calibri"/>
          <w:sz w:val="22"/>
          <w:szCs w:val="22"/>
        </w:rPr>
      </w:pPr>
    </w:p>
    <w:p>
      <w:pPr>
        <w:shd w:val="clear" w:color="auto" w:fill="FFFFFF"/>
        <w:tabs>
          <w:tab w:val="left" w:leader="dot" w:pos="2023"/>
        </w:tabs>
        <w:spacing w:after="120"/>
        <w:jc w:val="both"/>
        <w:rPr>
          <w:rFonts w:ascii="Calibri" w:hAnsi="Calibri" w:cs="Calibri"/>
          <w:sz w:val="22"/>
          <w:szCs w:val="22"/>
        </w:rPr>
      </w:pPr>
      <w:r>
        <w:rPr>
          <w:rFonts w:ascii="Calibri" w:hAnsi="Calibri" w:cs="Calibri"/>
          <w:sz w:val="22"/>
          <w:szCs w:val="22"/>
        </w:rPr>
        <w:t>Fait le ..…/..…/20..… en 2 exemplaires signés respectivement par chacune des parties.</w:t>
      </w:r>
    </w:p>
    <w:p>
      <w:pPr>
        <w:tabs>
          <w:tab w:val="left" w:pos="0"/>
          <w:tab w:val="right" w:pos="9000"/>
        </w:tabs>
        <w:suppressAutoHyphens/>
        <w:spacing w:after="120"/>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19"/>
        <w:gridCol w:w="4709"/>
      </w:tblGrid>
      <w:tr>
        <w:trPr>
          <w:trHeight w:val="2630"/>
        </w:trPr>
        <w:tc>
          <w:tcPr>
            <w:tcW w:w="4219" w:type="dxa"/>
          </w:tcPr>
          <w:p>
            <w:pPr>
              <w:tabs>
                <w:tab w:val="left" w:pos="0"/>
                <w:tab w:val="right" w:pos="9000"/>
              </w:tabs>
              <w:suppressAutoHyphens/>
              <w:spacing w:after="120"/>
              <w:jc w:val="center"/>
              <w:rPr>
                <w:rFonts w:ascii="Calibri" w:hAnsi="Calibri" w:cs="Calibri"/>
                <w:sz w:val="22"/>
                <w:szCs w:val="22"/>
              </w:rPr>
            </w:pPr>
          </w:p>
          <w:p>
            <w:pPr>
              <w:tabs>
                <w:tab w:val="left" w:pos="0"/>
                <w:tab w:val="right" w:pos="9000"/>
              </w:tabs>
              <w:suppressAutoHyphens/>
              <w:spacing w:after="120"/>
              <w:jc w:val="center"/>
              <w:rPr>
                <w:rFonts w:ascii="Calibri" w:hAnsi="Calibri" w:cs="Calibri"/>
                <w:sz w:val="22"/>
                <w:szCs w:val="22"/>
              </w:rPr>
            </w:pPr>
            <w:r>
              <w:rPr>
                <w:rFonts w:ascii="Calibri" w:hAnsi="Calibri" w:cs="Calibri"/>
                <w:sz w:val="22"/>
                <w:szCs w:val="22"/>
              </w:rPr>
              <w:t>Pour le CTA,</w:t>
            </w:r>
          </w:p>
          <w:p>
            <w:pPr>
              <w:tabs>
                <w:tab w:val="left" w:pos="0"/>
                <w:tab w:val="right" w:pos="9000"/>
              </w:tabs>
              <w:suppressAutoHyphens/>
              <w:spacing w:after="120"/>
              <w:jc w:val="center"/>
              <w:rPr>
                <w:rFonts w:ascii="Calibri" w:hAnsi="Calibri" w:cs="Calibri"/>
                <w:sz w:val="22"/>
                <w:szCs w:val="22"/>
              </w:rPr>
            </w:pPr>
          </w:p>
          <w:p>
            <w:pPr>
              <w:tabs>
                <w:tab w:val="left" w:pos="0"/>
                <w:tab w:val="right" w:pos="9000"/>
              </w:tabs>
              <w:suppressAutoHyphens/>
              <w:spacing w:after="120"/>
              <w:jc w:val="center"/>
              <w:rPr>
                <w:rFonts w:ascii="Calibri" w:hAnsi="Calibri" w:cs="Calibri"/>
                <w:sz w:val="22"/>
                <w:szCs w:val="22"/>
              </w:rPr>
            </w:pPr>
            <w:r>
              <w:rPr>
                <w:rFonts w:ascii="Calibri" w:hAnsi="Calibri" w:cs="Calibri"/>
                <w:sz w:val="22"/>
                <w:szCs w:val="22"/>
              </w:rPr>
              <w:t>Nom et qualité du signataire :</w:t>
            </w:r>
          </w:p>
          <w:p>
            <w:pPr>
              <w:tabs>
                <w:tab w:val="left" w:pos="0"/>
                <w:tab w:val="right" w:pos="9000"/>
              </w:tabs>
              <w:suppressAutoHyphens/>
              <w:spacing w:after="120"/>
              <w:rPr>
                <w:rFonts w:ascii="Calibri" w:hAnsi="Calibri" w:cs="Calibri"/>
                <w:sz w:val="22"/>
                <w:szCs w:val="22"/>
              </w:rPr>
            </w:pPr>
          </w:p>
        </w:tc>
        <w:tc>
          <w:tcPr>
            <w:tcW w:w="4709" w:type="dxa"/>
          </w:tcPr>
          <w:p>
            <w:pPr>
              <w:shd w:val="clear" w:color="auto" w:fill="FFFFFF"/>
              <w:spacing w:after="120"/>
              <w:jc w:val="center"/>
              <w:rPr>
                <w:rFonts w:ascii="Calibri" w:hAnsi="Calibri" w:cs="Calibri"/>
                <w:sz w:val="22"/>
                <w:szCs w:val="22"/>
              </w:rPr>
            </w:pPr>
          </w:p>
          <w:p>
            <w:pPr>
              <w:shd w:val="clear" w:color="auto" w:fill="FFFFFF"/>
              <w:spacing w:after="120"/>
              <w:jc w:val="center"/>
              <w:rPr>
                <w:rFonts w:ascii="Calibri" w:hAnsi="Calibri" w:cs="Calibri"/>
                <w:sz w:val="22"/>
                <w:szCs w:val="22"/>
              </w:rPr>
            </w:pPr>
            <w:r>
              <w:rPr>
                <w:rFonts w:ascii="Calibri" w:hAnsi="Calibri" w:cs="Calibri"/>
                <w:sz w:val="22"/>
                <w:szCs w:val="22"/>
              </w:rPr>
              <w:t>Pour l’opérateur-utilisateur,</w:t>
            </w:r>
          </w:p>
          <w:p>
            <w:pPr>
              <w:shd w:val="clear" w:color="auto" w:fill="FFFFFF"/>
              <w:spacing w:after="120"/>
              <w:jc w:val="center"/>
              <w:rPr>
                <w:rFonts w:ascii="Calibri" w:hAnsi="Calibri" w:cs="Calibri"/>
                <w:sz w:val="22"/>
                <w:szCs w:val="22"/>
              </w:rPr>
            </w:pPr>
          </w:p>
          <w:p>
            <w:pPr>
              <w:shd w:val="clear" w:color="auto" w:fill="FFFFFF"/>
              <w:spacing w:after="120"/>
              <w:jc w:val="center"/>
              <w:rPr>
                <w:rFonts w:ascii="Calibri" w:hAnsi="Calibri" w:cs="Calibri"/>
                <w:sz w:val="22"/>
                <w:szCs w:val="22"/>
              </w:rPr>
            </w:pPr>
            <w:r>
              <w:rPr>
                <w:rFonts w:ascii="Calibri" w:hAnsi="Calibri" w:cs="Calibri"/>
                <w:sz w:val="22"/>
                <w:szCs w:val="22"/>
              </w:rPr>
              <w:t>Nom et qualité du signataire :</w:t>
            </w:r>
          </w:p>
          <w:p>
            <w:pPr>
              <w:tabs>
                <w:tab w:val="left" w:pos="0"/>
                <w:tab w:val="right" w:pos="9000"/>
              </w:tabs>
              <w:suppressAutoHyphens/>
              <w:spacing w:after="120"/>
              <w:rPr>
                <w:rFonts w:ascii="Calibri" w:hAnsi="Calibri" w:cs="Calibri"/>
                <w:sz w:val="22"/>
                <w:szCs w:val="22"/>
              </w:rPr>
            </w:pPr>
          </w:p>
        </w:tc>
      </w:tr>
    </w:tbl>
    <w:p>
      <w:pPr>
        <w:pBdr>
          <w:top w:val="single" w:sz="4" w:space="1" w:color="auto"/>
          <w:left w:val="single" w:sz="4" w:space="4" w:color="auto"/>
          <w:bottom w:val="single" w:sz="4" w:space="1" w:color="auto"/>
          <w:right w:val="single" w:sz="4" w:space="4" w:color="auto"/>
        </w:pBdr>
        <w:shd w:val="clear" w:color="auto" w:fill="FFFFFF"/>
        <w:spacing w:after="120"/>
        <w:rPr>
          <w:rFonts w:ascii="Calibri" w:hAnsi="Calibri" w:cs="Calibri"/>
          <w:b/>
          <w:smallCaps/>
          <w:sz w:val="22"/>
          <w:szCs w:val="22"/>
        </w:rPr>
      </w:pPr>
      <w:r>
        <w:rPr>
          <w:rFonts w:ascii="Calibri" w:hAnsi="Calibri" w:cs="Calibri"/>
          <w:b/>
          <w:bCs/>
          <w:sz w:val="22"/>
          <w:szCs w:val="22"/>
          <w:u w:val="single"/>
        </w:rPr>
        <w:br w:type="page"/>
      </w:r>
      <w:r>
        <w:rPr>
          <w:rFonts w:ascii="Calibri" w:hAnsi="Calibri" w:cs="Calibri"/>
          <w:caps/>
          <w:noProof/>
          <w:sz w:val="22"/>
          <w:szCs w:val="22"/>
          <w:lang w:eastAsia="fr-BE"/>
        </w:rPr>
        <w:lastRenderedPageBreak/>
        <mc:AlternateContent>
          <mc:Choice Requires="wps">
            <w:drawing>
              <wp:anchor distT="0" distB="0" distL="114299" distR="114299" simplePos="0" relativeHeight="251631616" behindDoc="0" locked="0" layoutInCell="1" allowOverlap="1">
                <wp:simplePos x="0" y="0"/>
                <wp:positionH relativeFrom="margin">
                  <wp:posOffset>-1600201</wp:posOffset>
                </wp:positionH>
                <wp:positionV relativeFrom="paragraph">
                  <wp:posOffset>176530</wp:posOffset>
                </wp:positionV>
                <wp:extent cx="0" cy="626110"/>
                <wp:effectExtent l="0" t="0" r="19050" b="21590"/>
                <wp:wrapNone/>
                <wp:docPr id="113"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611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31616;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126pt,13.9pt" to="-126pt,6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U/IEgIAACoEAAAOAAAAZHJzL2Uyb0RvYy54bWysU8GO2jAQvVfqP1i+QxJIKRsRVlUCvdAu&#10;0m4/wNgOserYlm0IqOq/d+wAYttLtdocnLE98+bNvPHi8dRJdOTWCa1KnI1TjLiimgm1L/GPl/Vo&#10;jpHzRDEiteIlPnOHH5cfPyx6U/CJbrVk3CIAUa7oTYlb702RJI62vCNurA1XcNlo2xEPW7tPmCU9&#10;oHcymaTpLOm1ZcZqyp2D03q4xMuI3zSc+qemcdwjWWLg5uNq47oLa7JckGJviWkFvdAgb2DREaEg&#10;6Q2qJp6ggxX/QHWCWu1048dUd4luGkF5rAGqydK/qnluieGxFmiOM7c2ufeDpd+PW4sEA+2yKUaK&#10;dCDSRiiO8tCb3rgCXCq1taE6elLPZqPpT4eUrlqi9jxyfDkbCMtCRPIqJGycgQy7/ptm4EMOXsdG&#10;nRrbBUhoATpFPc43PfjJIzocUjidTWZZFqVKSHGNM9b5r1x3KBgllkA54pLjxvnAgxRXl5BG6bWQ&#10;MqotFepDufk0jRFOS8HCbfBzdr+rpEVHEgYmfrEquLl3s/qgWERrOWGri+2JkIMN2aUKeFAK8LlY&#10;w0T8ekgfVvPVPB/lk9lqlKd1PfqyrvLRbJ19/lRP66qqs9+BWpYXrWCMq8DuOp1Z/n/qX97JMFe3&#10;+bz1IXmNHhsGZK//SDpqGeQbBmGn2XlrrxrDQEbny+MJE3+/B/v+iS//AAAA//8DAFBLAwQUAAYA&#10;CAAAACEAgUILxt4AAAAMAQAADwAAAGRycy9kb3ducmV2LnhtbEyPwU7DMAyG70i8Q2QkbltKtBUo&#10;TSeExI3LNiSUW9aYtrRxqibburfHSEhwtP3p9/eXm9kP4oRT7AJpuFtmIJDq4DpqNLzvXxcPIGKy&#10;5OwQCDVcMMKmur4qbeHCmbZ42qVGcAjFwmpoUxoLKWPdordxGUYkvn2GydvE49RIN9kzh/tBqizL&#10;pbcd8YfWjvjSYt3vjl5DdulN7HNjHr/cNuw/zPqtWxmtb2/m5ycQCef0B8OPPqtDxU6HcCQXxaBh&#10;odaKyyQN6p47MPG7OTCr8hXIqpT/S1TfAAAA//8DAFBLAQItABQABgAIAAAAIQC2gziS/gAAAOEB&#10;AAATAAAAAAAAAAAAAAAAAAAAAABbQ29udGVudF9UeXBlc10ueG1sUEsBAi0AFAAGAAgAAAAhADj9&#10;If/WAAAAlAEAAAsAAAAAAAAAAAAAAAAALwEAAF9yZWxzLy5yZWxzUEsBAi0AFAAGAAgAAAAhAHpV&#10;T8gSAgAAKgQAAA4AAAAAAAAAAAAAAAAALgIAAGRycy9lMm9Eb2MueG1sUEsBAi0AFAAGAAgAAAAh&#10;AIFCC8beAAAADAEAAA8AAAAAAAAAAAAAAAAAbAQAAGRycy9kb3ducmV2LnhtbFBLBQYAAAAABAAE&#10;APMAAAB3BQAAAAA=&#10;" strokeweight=".9pt">
                <w10:wrap anchorx="margin"/>
              </v:line>
            </w:pict>
          </mc:Fallback>
        </mc:AlternateContent>
      </w:r>
      <w:r>
        <w:rPr>
          <w:rFonts w:ascii="Calibri" w:hAnsi="Calibri" w:cs="Calibri"/>
          <w:b/>
          <w:bCs/>
          <w:caps/>
          <w:sz w:val="22"/>
          <w:szCs w:val="22"/>
        </w:rPr>
        <w:t xml:space="preserve">Convention spécifique DE COLLABORATION entre les Centres de Technologies Avancées et les opérateurs-utilisateurs </w:t>
      </w:r>
      <w:r>
        <w:rPr>
          <w:rFonts w:ascii="Calibri" w:hAnsi="Calibri" w:cs="Calibri"/>
          <w:b/>
          <w:bCs/>
          <w:smallCaps/>
          <w:sz w:val="22"/>
          <w:szCs w:val="22"/>
        </w:rPr>
        <w:t xml:space="preserve">ISSUS DES </w:t>
      </w:r>
      <w:r>
        <w:rPr>
          <w:rFonts w:ascii="Calibri" w:hAnsi="Calibri" w:cs="Calibri"/>
          <w:b/>
          <w:smallCaps/>
          <w:sz w:val="22"/>
          <w:szCs w:val="22"/>
        </w:rPr>
        <w:t>ETABLISSEMENTS D’ENSEIGNEMENT PRIMAIRE ET SECONDAIRE</w:t>
      </w:r>
    </w:p>
    <w:p>
      <w:pPr>
        <w:shd w:val="clear" w:color="auto" w:fill="FFFFFF"/>
        <w:tabs>
          <w:tab w:val="left" w:leader="underscore" w:pos="2347"/>
          <w:tab w:val="left" w:leader="underscore" w:pos="8467"/>
        </w:tabs>
        <w:spacing w:after="120"/>
        <w:jc w:val="both"/>
        <w:rPr>
          <w:rFonts w:ascii="Calibri" w:hAnsi="Calibri" w:cs="Calibri"/>
          <w:b/>
          <w:sz w:val="22"/>
          <w:szCs w:val="22"/>
        </w:rPr>
      </w:pPr>
    </w:p>
    <w:p>
      <w:pPr>
        <w:shd w:val="clear" w:color="auto" w:fill="FFFFFF"/>
        <w:tabs>
          <w:tab w:val="left" w:leader="underscore" w:pos="2347"/>
          <w:tab w:val="left" w:leader="underscore" w:pos="8467"/>
        </w:tabs>
        <w:spacing w:after="120"/>
        <w:jc w:val="both"/>
        <w:rPr>
          <w:rFonts w:ascii="Calibri" w:hAnsi="Calibri" w:cs="Calibri"/>
          <w:b/>
          <w:sz w:val="22"/>
          <w:szCs w:val="22"/>
        </w:rPr>
      </w:pPr>
      <w:r>
        <w:rPr>
          <w:rFonts w:ascii="Calibri" w:hAnsi="Calibri" w:cs="Calibri"/>
          <w:b/>
          <w:sz w:val="22"/>
          <w:szCs w:val="22"/>
        </w:rPr>
        <w:t>Cette convention spécifique n’est valable que pour autant qu’elle soit accompagnée de la convention générale signée par les partenaires.</w:t>
      </w:r>
    </w:p>
    <w:p>
      <w:pPr>
        <w:shd w:val="clear" w:color="auto" w:fill="FFFFFF"/>
        <w:tabs>
          <w:tab w:val="left" w:leader="underscore" w:pos="2347"/>
          <w:tab w:val="left" w:leader="underscore" w:pos="8467"/>
        </w:tabs>
        <w:spacing w:after="120"/>
        <w:jc w:val="both"/>
        <w:rPr>
          <w:rFonts w:ascii="Calibri" w:hAnsi="Calibri" w:cs="Calibri"/>
          <w:b/>
          <w:sz w:val="22"/>
          <w:szCs w:val="22"/>
        </w:rPr>
      </w:pPr>
    </w:p>
    <w:p>
      <w:pPr>
        <w:pBdr>
          <w:top w:val="single" w:sz="8" w:space="1" w:color="auto"/>
          <w:left w:val="single" w:sz="8" w:space="4" w:color="auto"/>
          <w:bottom w:val="single" w:sz="8" w:space="1" w:color="auto"/>
          <w:right w:val="single" w:sz="8" w:space="4" w:color="auto"/>
        </w:pBdr>
        <w:shd w:val="clear" w:color="auto" w:fill="FFFFFF"/>
        <w:spacing w:after="120"/>
        <w:outlineLvl w:val="0"/>
        <w:rPr>
          <w:rFonts w:ascii="Calibri" w:hAnsi="Calibri" w:cs="Calibri"/>
          <w:b/>
          <w:caps/>
          <w:sz w:val="22"/>
          <w:szCs w:val="22"/>
        </w:rPr>
      </w:pPr>
      <w:r>
        <w:rPr>
          <w:rFonts w:ascii="Calibri" w:hAnsi="Calibri" w:cs="Calibri"/>
          <w:noProof/>
          <w:sz w:val="22"/>
          <w:szCs w:val="22"/>
          <w:lang w:eastAsia="fr-BE"/>
        </w:rPr>
        <mc:AlternateContent>
          <mc:Choice Requires="wps">
            <w:drawing>
              <wp:anchor distT="0" distB="0" distL="114299" distR="114299" simplePos="0" relativeHeight="251632640" behindDoc="0" locked="0" layoutInCell="1" allowOverlap="1">
                <wp:simplePos x="0" y="0"/>
                <wp:positionH relativeFrom="margin">
                  <wp:posOffset>-1752601</wp:posOffset>
                </wp:positionH>
                <wp:positionV relativeFrom="paragraph">
                  <wp:posOffset>271780</wp:posOffset>
                </wp:positionV>
                <wp:extent cx="0" cy="240030"/>
                <wp:effectExtent l="0" t="0" r="19050" b="26670"/>
                <wp:wrapNone/>
                <wp:docPr id="11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003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32640;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138pt,21.4pt" to="-138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4s2EAIAACoEAAAOAAAAZHJzL2Uyb0RvYy54bWysU8GO2yAQvVfqPyDuie2sm81acVaVnfSS&#10;diPt9gMI4BgVAwISJ6r67x2wE+1uL1VVH/AMMzzezBuWj+dOohO3TmhV4myaYsQV1UyoQ4m/v2wm&#10;C4ycJ4oRqRUv8YU7/Lj6+GHZm4LPdKsl4xYBiHJFb0rcem+KJHG05R1xU224gmCjbUc8uPaQMEt6&#10;QO9kMkvTedJry4zVlDsHu/UQxKuI3zSc+qemcdwjWWLg5uNq47oPa7JakuJgiWkFHWmQf2DREaHg&#10;0htUTTxBRyv+gOoEtdrpxk+p7hLdNILyWANUk6XvqnluieGxFmiOM7c2uf8HS7+ddhYJBtplM4wU&#10;6UCkrVAc3Yfe9MYVkFKpnQ3V0bN6NltNfzikdNUSdeCR48vFwLEsnEjeHAmOM3DDvv+qGeSQo9ex&#10;UefGdgESWoDOUY/LTQ9+9ogOmxR2Z3ma3kWpElJczxnr/BeuOxSMEkugHHHJaet84EGKa0q4RumN&#10;kDKqLRXqQ7k5YIaQ01KwEI2OPewradGJhIGJX6zqXZrVR8UiWssJW4+2J0IONtwuVcCDUoDPaA0T&#10;8fMhfVgv1ot8ks/m60me1vXk86bKJ/NNdv+pvqurqs5+BWpZXrSCMa4Cu+t0ZvnfqT++k2GubvN5&#10;60PyFj02DMhe/5F01DLINwzCXrPLzl41hoGMyePjCRP/2gf79RNf/QYAAP//AwBQSwMEFAAGAAgA&#10;AAAhAGrqYgjeAAAACwEAAA8AAABkcnMvZG93bnJldi54bWxMj8FOwzAMhu9IvENkJG5bQjXKKHUn&#10;hMSNyzYklFvWmLa0Saom27q3x0hIcLT96/f3lZvZDeJEU+yCR7hbKhDk62A73yC8718XaxAxGW/N&#10;EDwhXCjCprq+Kk1hw9lv6bRLjeASHwuD0KY0FlLGuiVn4jKM5Pn2GSZnEo9TI+1kzlzuBpkplUtn&#10;Os8fWjPSS0t1vzs6BHXpdexzrR+/7DbsP/T9W7fSiLc38/MTiERz+gvDDz6jQ8VMh3D0NooBYZE9&#10;5CyTEFYZO3Did3NAWKscZFXK/w7VNwAAAP//AwBQSwECLQAUAAYACAAAACEAtoM4kv4AAADhAQAA&#10;EwAAAAAAAAAAAAAAAAAAAAAAW0NvbnRlbnRfVHlwZXNdLnhtbFBLAQItABQABgAIAAAAIQA4/SH/&#10;1gAAAJQBAAALAAAAAAAAAAAAAAAAAC8BAABfcmVscy8ucmVsc1BLAQItABQABgAIAAAAIQAXZ4s2&#10;EAIAACoEAAAOAAAAAAAAAAAAAAAAAC4CAABkcnMvZTJvRG9jLnhtbFBLAQItABQABgAIAAAAIQBq&#10;6mII3gAAAAsBAAAPAAAAAAAAAAAAAAAAAGoEAABkcnMvZG93bnJldi54bWxQSwUGAAAAAAQABADz&#10;AAAAdQUAAAAA&#10;" strokeweight=".9pt">
                <w10:wrap anchorx="margin"/>
              </v:line>
            </w:pict>
          </mc:Fallback>
        </mc:AlternateContent>
      </w:r>
      <w:r>
        <w:rPr>
          <w:rFonts w:ascii="Calibri" w:hAnsi="Calibri" w:cs="Calibri"/>
          <w:b/>
          <w:caps/>
          <w:sz w:val="22"/>
          <w:szCs w:val="22"/>
        </w:rPr>
        <w:t>Centre de Technologies Avancées</w:t>
      </w:r>
    </w:p>
    <w:p>
      <w:pPr>
        <w:shd w:val="clear" w:color="auto" w:fill="FFFFFF"/>
        <w:spacing w:after="120"/>
        <w:rPr>
          <w:rFonts w:ascii="Calibri" w:hAnsi="Calibri" w:cs="Calibri"/>
          <w:sz w:val="22"/>
          <w:szCs w:val="22"/>
        </w:rPr>
      </w:pPr>
      <w:r>
        <w:rPr>
          <w:rFonts w:ascii="Calibri" w:hAnsi="Calibri" w:cs="Calibri"/>
          <w:sz w:val="22"/>
          <w:szCs w:val="22"/>
        </w:rPr>
        <w:t>Nom de l’institution :</w:t>
      </w:r>
    </w:p>
    <w:p>
      <w:pPr>
        <w:shd w:val="clear" w:color="auto" w:fill="FFFFFF"/>
        <w:spacing w:after="120"/>
        <w:rPr>
          <w:rFonts w:ascii="Calibri" w:hAnsi="Calibri" w:cs="Calibri"/>
          <w:sz w:val="22"/>
          <w:szCs w:val="22"/>
        </w:rPr>
      </w:pPr>
      <w:r>
        <w:rPr>
          <w:rFonts w:ascii="Calibri" w:hAnsi="Calibri" w:cs="Calibri"/>
          <w:sz w:val="22"/>
          <w:szCs w:val="22"/>
        </w:rPr>
        <w:t>Adresse :</w:t>
      </w:r>
    </w:p>
    <w:p>
      <w:pPr>
        <w:shd w:val="clear" w:color="auto" w:fill="FFFFFF"/>
        <w:spacing w:after="120"/>
        <w:rPr>
          <w:rFonts w:ascii="Calibri" w:hAnsi="Calibri" w:cs="Calibri"/>
          <w:sz w:val="22"/>
          <w:szCs w:val="22"/>
        </w:rPr>
      </w:pPr>
      <w:r>
        <w:rPr>
          <w:rFonts w:ascii="Calibri" w:hAnsi="Calibri" w:cs="Calibri"/>
          <w:sz w:val="22"/>
          <w:szCs w:val="22"/>
        </w:rPr>
        <w:t>Personne de contact :</w:t>
      </w:r>
    </w:p>
    <w:p>
      <w:pPr>
        <w:shd w:val="clear" w:color="auto" w:fill="FFFFFF"/>
        <w:tabs>
          <w:tab w:val="left" w:pos="4100"/>
        </w:tabs>
        <w:spacing w:after="120"/>
        <w:rPr>
          <w:rFonts w:ascii="Calibri" w:hAnsi="Calibri" w:cs="Calibri"/>
          <w:sz w:val="22"/>
          <w:szCs w:val="22"/>
        </w:rPr>
      </w:pPr>
      <w:r>
        <w:rPr>
          <w:rFonts w:ascii="Calibri" w:hAnsi="Calibri" w:cs="Calibri"/>
          <w:sz w:val="22"/>
          <w:szCs w:val="22"/>
        </w:rPr>
        <w:t>Téléphone :</w:t>
      </w:r>
      <w:r>
        <w:rPr>
          <w:rFonts w:ascii="Calibri" w:hAnsi="Calibri" w:cs="Calibri"/>
          <w:sz w:val="22"/>
          <w:szCs w:val="22"/>
        </w:rPr>
        <w:tab/>
        <w:t>Fax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OPERATEUR-UTILISATEUR</w:t>
      </w:r>
    </w:p>
    <w:p>
      <w:pPr>
        <w:shd w:val="clear" w:color="auto" w:fill="FFFFFF"/>
        <w:spacing w:after="120"/>
        <w:rPr>
          <w:rFonts w:ascii="Calibri" w:hAnsi="Calibri" w:cs="Calibri"/>
          <w:sz w:val="22"/>
          <w:szCs w:val="22"/>
        </w:rPr>
      </w:pPr>
      <w:r>
        <w:rPr>
          <w:rFonts w:ascii="Calibri" w:hAnsi="Calibri" w:cs="Calibri"/>
          <w:sz w:val="22"/>
          <w:szCs w:val="22"/>
        </w:rPr>
        <w:t>Nom de l'institution :</w:t>
      </w:r>
    </w:p>
    <w:p>
      <w:pPr>
        <w:shd w:val="clear" w:color="auto" w:fill="FFFFFF"/>
        <w:spacing w:after="120"/>
        <w:rPr>
          <w:rFonts w:ascii="Calibri" w:hAnsi="Calibri" w:cs="Calibri"/>
          <w:sz w:val="22"/>
          <w:szCs w:val="22"/>
        </w:rPr>
      </w:pPr>
      <w:r>
        <w:rPr>
          <w:rFonts w:ascii="Calibri" w:hAnsi="Calibri" w:cs="Calibri"/>
          <w:sz w:val="22"/>
          <w:szCs w:val="22"/>
        </w:rPr>
        <w:t>Adresse :</w:t>
      </w:r>
    </w:p>
    <w:p>
      <w:pPr>
        <w:shd w:val="clear" w:color="auto" w:fill="FFFFFF"/>
        <w:spacing w:after="120"/>
        <w:rPr>
          <w:rFonts w:ascii="Calibri" w:hAnsi="Calibri" w:cs="Calibri"/>
          <w:sz w:val="22"/>
          <w:szCs w:val="22"/>
        </w:rPr>
      </w:pPr>
      <w:r>
        <w:rPr>
          <w:rFonts w:ascii="Calibri" w:hAnsi="Calibri" w:cs="Calibri"/>
          <w:sz w:val="22"/>
          <w:szCs w:val="22"/>
        </w:rPr>
        <w:t>Personne de contact :</w:t>
      </w:r>
    </w:p>
    <w:p>
      <w:pPr>
        <w:shd w:val="clear" w:color="auto" w:fill="FFFFFF"/>
        <w:tabs>
          <w:tab w:val="left" w:pos="4097"/>
        </w:tabs>
        <w:spacing w:after="120"/>
        <w:rPr>
          <w:rFonts w:ascii="Calibri" w:hAnsi="Calibri" w:cs="Calibri"/>
          <w:sz w:val="22"/>
          <w:szCs w:val="22"/>
        </w:rPr>
      </w:pPr>
      <w:r>
        <w:rPr>
          <w:rFonts w:ascii="Calibri" w:hAnsi="Calibri" w:cs="Calibri"/>
          <w:sz w:val="22"/>
          <w:szCs w:val="22"/>
        </w:rPr>
        <w:t>Téléphone :</w:t>
      </w:r>
      <w:r>
        <w:rPr>
          <w:rFonts w:ascii="Calibri" w:hAnsi="Calibri" w:cs="Calibri"/>
          <w:sz w:val="22"/>
          <w:szCs w:val="22"/>
        </w:rPr>
        <w:tab/>
        <w:t>Fax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 xml:space="preserve">INTITULE DE </w:t>
      </w:r>
      <w:smartTag w:uri="urn:schemas-microsoft-com:office:smarttags" w:element="PersonName">
        <w:smartTagPr>
          <w:attr w:name="ProductID" w:val="LA FORMATION"/>
        </w:smartTagPr>
        <w:r>
          <w:rPr>
            <w:rFonts w:ascii="Calibri" w:hAnsi="Calibri" w:cs="Calibri"/>
            <w:b/>
            <w:bCs/>
            <w:sz w:val="22"/>
            <w:szCs w:val="22"/>
          </w:rPr>
          <w:t>LA FORMATION</w:t>
        </w:r>
      </w:smartTag>
    </w:p>
    <w:p>
      <w:pPr>
        <w:shd w:val="clear" w:color="auto" w:fill="FFFFFF"/>
        <w:spacing w:after="120"/>
        <w:ind w:right="5443"/>
        <w:rPr>
          <w:rFonts w:ascii="Calibri" w:hAnsi="Calibri" w:cs="Calibri"/>
          <w:sz w:val="22"/>
          <w:szCs w:val="22"/>
        </w:rPr>
      </w:pPr>
      <w:r>
        <w:rPr>
          <w:rFonts w:ascii="Calibri" w:hAnsi="Calibri" w:cs="Calibri"/>
          <w:sz w:val="22"/>
          <w:szCs w:val="22"/>
        </w:rPr>
        <w:t>Durée (en jours de formation) :</w:t>
      </w:r>
    </w:p>
    <w:p>
      <w:pPr>
        <w:shd w:val="clear" w:color="auto" w:fill="FFFFFF"/>
        <w:spacing w:after="120"/>
        <w:ind w:right="5443"/>
        <w:rPr>
          <w:rFonts w:ascii="Calibri" w:hAnsi="Calibri" w:cs="Calibri"/>
          <w:sz w:val="22"/>
          <w:szCs w:val="22"/>
        </w:rPr>
      </w:pPr>
      <w:r>
        <w:rPr>
          <w:rFonts w:ascii="Calibri" w:hAnsi="Calibri" w:cs="Calibri"/>
          <w:sz w:val="22"/>
          <w:szCs w:val="22"/>
        </w:rPr>
        <w:t>Nombre d'heures de théorie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Nombre d'heures de pratique :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Date(s) :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Horaire :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PARTICIPANTS</w:t>
      </w:r>
    </w:p>
    <w:p>
      <w:pPr>
        <w:tabs>
          <w:tab w:val="left" w:pos="4860"/>
        </w:tabs>
        <w:spacing w:after="120"/>
        <w:jc w:val="both"/>
        <w:rPr>
          <w:rFonts w:ascii="Calibri" w:hAnsi="Calibri" w:cs="Calibri"/>
          <w:sz w:val="22"/>
          <w:szCs w:val="22"/>
        </w:rPr>
      </w:pPr>
      <w:r>
        <w:rPr>
          <w:rFonts w:ascii="Calibri" w:hAnsi="Calibri" w:cs="Calibri"/>
          <w:sz w:val="22"/>
          <w:szCs w:val="22"/>
        </w:rPr>
        <w:t>O Enseignant(s)- formateur(s)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Nombre :……</w:t>
      </w:r>
    </w:p>
    <w:p>
      <w:pPr>
        <w:shd w:val="clear" w:color="auto" w:fill="FFFFFF"/>
        <w:spacing w:after="120"/>
        <w:jc w:val="both"/>
        <w:rPr>
          <w:rFonts w:ascii="Calibri" w:hAnsi="Calibri" w:cs="Calibri"/>
          <w:sz w:val="22"/>
          <w:szCs w:val="22"/>
        </w:rPr>
      </w:pPr>
      <w:r>
        <w:rPr>
          <w:rFonts w:ascii="Calibri" w:hAnsi="Calibri" w:cs="Calibri"/>
          <w:sz w:val="22"/>
          <w:szCs w:val="22"/>
        </w:rPr>
        <w:t>O Stagiaire(s)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Nombre :……</w:t>
      </w:r>
    </w:p>
    <w:p>
      <w:pPr>
        <w:shd w:val="clear" w:color="auto" w:fill="FFFFFF"/>
        <w:spacing w:after="120"/>
        <w:jc w:val="both"/>
        <w:rPr>
          <w:rFonts w:ascii="Calibri" w:hAnsi="Calibri" w:cs="Calibri"/>
          <w:sz w:val="22"/>
          <w:szCs w:val="22"/>
        </w:rPr>
      </w:pPr>
    </w:p>
    <w:p>
      <w:pPr>
        <w:shd w:val="clear" w:color="auto" w:fill="FFFFFF"/>
        <w:spacing w:after="120"/>
        <w:jc w:val="both"/>
        <w:rPr>
          <w:rFonts w:ascii="Calibri" w:hAnsi="Calibri" w:cs="Calibri"/>
          <w:sz w:val="22"/>
          <w:szCs w:val="22"/>
        </w:rPr>
      </w:pPr>
    </w:p>
    <w:p>
      <w:pPr>
        <w:shd w:val="clear" w:color="auto" w:fill="FFFFFF"/>
        <w:spacing w:after="120"/>
        <w:jc w:val="both"/>
        <w:rPr>
          <w:rFonts w:ascii="Calibri" w:hAnsi="Calibri" w:cs="Calibri"/>
          <w:sz w:val="22"/>
          <w:szCs w:val="22"/>
        </w:rPr>
      </w:pPr>
      <w:r>
        <w:rPr>
          <w:rFonts w:ascii="Calibri" w:hAnsi="Calibri" w:cs="Calibri"/>
          <w:sz w:val="22"/>
          <w:szCs w:val="22"/>
        </w:rPr>
        <w:t>La présente convention prend effet à la date de sa signature, elle prend fin à l'issue du cycle de formation.</w:t>
      </w:r>
    </w:p>
    <w:p>
      <w:pPr>
        <w:shd w:val="clear" w:color="auto" w:fill="FFFFFF"/>
        <w:tabs>
          <w:tab w:val="left" w:leader="dot" w:pos="2318"/>
        </w:tabs>
        <w:spacing w:after="120"/>
        <w:rPr>
          <w:rFonts w:ascii="Calibri" w:hAnsi="Calibri" w:cs="Calibri"/>
          <w:sz w:val="22"/>
          <w:szCs w:val="22"/>
        </w:rPr>
      </w:pPr>
    </w:p>
    <w:p>
      <w:pPr>
        <w:shd w:val="clear" w:color="auto" w:fill="FFFFFF"/>
        <w:tabs>
          <w:tab w:val="left" w:leader="dot" w:pos="2318"/>
        </w:tabs>
        <w:spacing w:after="120"/>
        <w:rPr>
          <w:rFonts w:ascii="Calibri" w:hAnsi="Calibri" w:cs="Calibri"/>
          <w:sz w:val="22"/>
          <w:szCs w:val="22"/>
        </w:rPr>
      </w:pPr>
      <w:r>
        <w:rPr>
          <w:rFonts w:ascii="Calibri" w:hAnsi="Calibri" w:cs="Calibri"/>
          <w:sz w:val="22"/>
          <w:szCs w:val="22"/>
        </w:rPr>
        <w:t>Fait le …../…../20..… en 2 exemplaires signés respectivement par chacune des parties.</w:t>
      </w:r>
    </w:p>
    <w:p>
      <w:pPr>
        <w:shd w:val="clear" w:color="auto" w:fill="FFFFFF"/>
        <w:tabs>
          <w:tab w:val="left" w:leader="dot" w:pos="2318"/>
        </w:tabs>
        <w:spacing w:after="120"/>
        <w:rPr>
          <w:rFonts w:ascii="Calibri" w:hAnsi="Calibri" w:cs="Calibri"/>
          <w:sz w:val="22"/>
          <w:szCs w:val="22"/>
        </w:rPr>
      </w:pPr>
    </w:p>
    <w:p>
      <w:pPr>
        <w:shd w:val="clear" w:color="auto" w:fill="FFFFFF"/>
        <w:spacing w:after="120"/>
        <w:ind w:right="23"/>
        <w:jc w:val="center"/>
        <w:rPr>
          <w:rFonts w:ascii="Calibri" w:hAnsi="Calibri" w:cs="Calibri"/>
          <w:sz w:val="22"/>
          <w:szCs w:val="22"/>
        </w:rPr>
      </w:pPr>
      <w:r>
        <w:rPr>
          <w:rFonts w:ascii="Calibri" w:hAnsi="Calibri" w:cs="Calibri"/>
          <w:sz w:val="22"/>
          <w:szCs w:val="22"/>
        </w:rPr>
        <w:t xml:space="preserve">Pour le Centre de Technologies Avancées, </w:t>
      </w:r>
      <w:r>
        <w:rPr>
          <w:rFonts w:ascii="Calibri" w:hAnsi="Calibri" w:cs="Calibri"/>
          <w:sz w:val="22"/>
          <w:szCs w:val="22"/>
        </w:rPr>
        <w:br/>
        <w:t>Nom et qualité du signataire :</w:t>
      </w:r>
    </w:p>
    <w:p>
      <w:pPr>
        <w:shd w:val="clear" w:color="auto" w:fill="FFFFFF"/>
        <w:spacing w:after="120"/>
        <w:ind w:right="23"/>
        <w:jc w:val="center"/>
        <w:rPr>
          <w:rFonts w:ascii="Calibri" w:hAnsi="Calibri" w:cs="Calibri"/>
          <w:sz w:val="22"/>
          <w:szCs w:val="22"/>
        </w:rPr>
      </w:pPr>
      <w:r>
        <w:rPr>
          <w:rFonts w:ascii="Calibri" w:hAnsi="Calibri" w:cs="Calibri"/>
          <w:sz w:val="22"/>
          <w:szCs w:val="22"/>
        </w:rPr>
        <w:t xml:space="preserve">Pour l'opérateur-utilisateur, </w:t>
      </w:r>
      <w:r>
        <w:rPr>
          <w:rFonts w:ascii="Calibri" w:hAnsi="Calibri" w:cs="Calibri"/>
          <w:sz w:val="22"/>
          <w:szCs w:val="22"/>
        </w:rPr>
        <w:br/>
        <w:t>Nom et qualité du signataire :</w:t>
      </w: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br w:type="page"/>
      </w:r>
      <w:r>
        <w:rPr>
          <w:rFonts w:ascii="Calibri" w:hAnsi="Calibri" w:cs="Calibri"/>
          <w:b/>
          <w:bCs/>
          <w:sz w:val="22"/>
          <w:szCs w:val="22"/>
          <w:u w:val="single"/>
        </w:rPr>
        <w:lastRenderedPageBreak/>
        <w:t>Annexe 1 : Règlement d'ordre intérieur du CTA</w:t>
      </w:r>
    </w:p>
    <w:p>
      <w:pPr>
        <w:shd w:val="clear" w:color="auto" w:fill="FFFFFF"/>
        <w:spacing w:after="120"/>
        <w:rPr>
          <w:rFonts w:ascii="Calibri" w:hAnsi="Calibri" w:cs="Calibri"/>
          <w:b/>
          <w:bCs/>
          <w:sz w:val="22"/>
          <w:szCs w:val="22"/>
          <w:u w:val="single"/>
        </w:rPr>
      </w:pPr>
    </w:p>
    <w:p>
      <w:pPr>
        <w:shd w:val="clear" w:color="auto" w:fill="FFFFFF"/>
        <w:spacing w:after="120"/>
        <w:rPr>
          <w:rFonts w:ascii="Calibri" w:hAnsi="Calibri" w:cs="Calibri"/>
          <w:b/>
          <w:bCs/>
          <w:sz w:val="22"/>
          <w:szCs w:val="22"/>
          <w:u w:val="single"/>
        </w:rPr>
      </w:pP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t>Annexe 2 : Programme de formation</w:t>
      </w:r>
    </w:p>
    <w:p>
      <w:pPr>
        <w:shd w:val="clear" w:color="auto" w:fill="FFFFFF"/>
        <w:spacing w:after="120"/>
        <w:rPr>
          <w:rFonts w:ascii="Calibri" w:hAnsi="Calibri" w:cs="Calibri"/>
          <w:b/>
          <w:bCs/>
          <w:sz w:val="22"/>
          <w:szCs w:val="22"/>
          <w:u w:val="single"/>
        </w:rPr>
      </w:pPr>
    </w:p>
    <w:p>
      <w:pPr>
        <w:shd w:val="clear" w:color="auto" w:fill="FFFFFF"/>
        <w:spacing w:after="120"/>
        <w:rPr>
          <w:rFonts w:ascii="Calibri" w:hAnsi="Calibri" w:cs="Calibri"/>
          <w:b/>
          <w:bCs/>
          <w:sz w:val="22"/>
          <w:szCs w:val="22"/>
          <w:u w:val="single"/>
        </w:rPr>
      </w:pP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t>Annexe 3 : Liste d'analyse des risques pour les équipements proposés</w:t>
      </w:r>
    </w:p>
    <w:p>
      <w:pPr>
        <w:shd w:val="clear" w:color="auto" w:fill="FFFFFF"/>
        <w:spacing w:after="120"/>
        <w:rPr>
          <w:rFonts w:ascii="Calibri" w:hAnsi="Calibri" w:cs="Calibri"/>
          <w:bCs/>
          <w:sz w:val="22"/>
          <w:szCs w:val="22"/>
        </w:rPr>
      </w:pPr>
    </w:p>
    <w:p>
      <w:pPr>
        <w:shd w:val="clear" w:color="auto" w:fill="FFFFFF"/>
        <w:spacing w:after="120"/>
        <w:rPr>
          <w:rFonts w:ascii="Calibri" w:hAnsi="Calibri" w:cs="Calibri"/>
          <w:bCs/>
          <w:sz w:val="22"/>
          <w:szCs w:val="22"/>
        </w:rPr>
      </w:pPr>
    </w:p>
    <w:p>
      <w:pPr>
        <w:shd w:val="clear" w:color="auto" w:fill="FFFFFF"/>
        <w:spacing w:after="120"/>
        <w:outlineLvl w:val="0"/>
        <w:rPr>
          <w:rFonts w:ascii="Calibri" w:hAnsi="Calibri" w:cs="Calibri"/>
          <w:sz w:val="22"/>
          <w:szCs w:val="22"/>
        </w:rPr>
      </w:pPr>
      <w:r>
        <w:rPr>
          <w:rFonts w:ascii="Calibri" w:hAnsi="Calibri" w:cs="Calibri"/>
          <w:bCs/>
          <w:sz w:val="22"/>
          <w:szCs w:val="22"/>
        </w:rPr>
        <w:t>Ces trois documents sont propres à chaque CTA</w:t>
      </w:r>
    </w:p>
    <w:p>
      <w:pPr>
        <w:spacing w:after="120"/>
        <w:ind w:right="8165"/>
        <w:rPr>
          <w:rFonts w:ascii="Calibri" w:hAnsi="Calibri" w:cs="Calibri"/>
          <w:sz w:val="22"/>
          <w:szCs w:val="22"/>
        </w:rPr>
        <w:sectPr>
          <w:footnotePr>
            <w:numRestart w:val="eachSect"/>
          </w:footnotePr>
          <w:pgSz w:w="11906" w:h="16838"/>
          <w:pgMar w:top="1417" w:right="1417" w:bottom="1417" w:left="1417" w:header="708" w:footer="708" w:gutter="0"/>
          <w:cols w:space="708"/>
          <w:docGrid w:linePitch="360"/>
        </w:sect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4</w:t>
      </w:r>
    </w:p>
    <w:p>
      <w:pPr>
        <w:spacing w:before="240" w:after="240"/>
        <w:jc w:val="center"/>
        <w:rPr>
          <w:rFonts w:ascii="Calibri" w:hAnsi="Calibri" w:cs="Calibri"/>
          <w:b/>
          <w:sz w:val="36"/>
          <w:szCs w:val="36"/>
        </w:rPr>
      </w:pPr>
      <w:r>
        <w:rPr>
          <w:rFonts w:ascii="Calibri" w:hAnsi="Calibri" w:cs="Calibri"/>
          <w:b/>
          <w:sz w:val="36"/>
          <w:szCs w:val="36"/>
        </w:rPr>
        <w:t>Modèle de convention bilatérale générale et spécifique à destination des opérateurs-utilisateurs issus de l’enseignement de promotion sociale</w:t>
      </w:r>
    </w:p>
    <w:p>
      <w:pPr>
        <w:spacing w:before="240" w:after="240"/>
        <w:jc w:val="both"/>
        <w:rPr>
          <w:rFonts w:ascii="Calibri" w:hAnsi="Calibri" w:cs="Calibri"/>
          <w:sz w:val="22"/>
          <w:szCs w:val="22"/>
        </w:rPr>
        <w:sectPr>
          <w:headerReference w:type="default" r:id="rId25"/>
          <w:footerReference w:type="default" r:id="rId26"/>
          <w:pgSz w:w="11906" w:h="16838"/>
          <w:pgMar w:top="1417" w:right="1417" w:bottom="1417" w:left="1417" w:header="708" w:footer="708" w:gutter="0"/>
          <w:cols w:space="708"/>
          <w:docGrid w:linePitch="360"/>
        </w:sectPr>
      </w:pPr>
    </w:p>
    <w:p>
      <w:pPr>
        <w:spacing w:after="120"/>
        <w:ind w:right="8165"/>
        <w:rPr>
          <w:rFonts w:ascii="Calibri" w:hAnsi="Calibri" w:cs="Calibri"/>
          <w:sz w:val="22"/>
          <w:szCs w:val="22"/>
        </w:rPr>
      </w:pPr>
      <w:r>
        <w:rPr>
          <w:rFonts w:ascii="Calibri" w:hAnsi="Calibri" w:cs="Calibri"/>
          <w:noProof/>
          <w:sz w:val="22"/>
          <w:szCs w:val="22"/>
          <w:lang w:eastAsia="fr-BE"/>
        </w:rPr>
        <w:lastRenderedPageBreak/>
        <w:drawing>
          <wp:inline distT="0" distB="0" distL="0" distR="0">
            <wp:extent cx="1424940" cy="724535"/>
            <wp:effectExtent l="0" t="0" r="3810" b="0"/>
            <wp:docPr id="6" name="Image 6" descr="Coq pau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q paulu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24940" cy="724535"/>
                    </a:xfrm>
                    <a:prstGeom prst="rect">
                      <a:avLst/>
                    </a:prstGeom>
                    <a:noFill/>
                    <a:ln>
                      <a:noFill/>
                    </a:ln>
                  </pic:spPr>
                </pic:pic>
              </a:graphicData>
            </a:graphic>
          </wp:inline>
        </w:drawing>
      </w:r>
    </w:p>
    <w:p>
      <w:pPr>
        <w:spacing w:after="120"/>
        <w:ind w:right="8165"/>
        <w:rPr>
          <w:rFonts w:ascii="Calibri" w:hAnsi="Calibri" w:cs="Calibri"/>
          <w:sz w:val="22"/>
          <w:szCs w:val="22"/>
        </w:rPr>
      </w:pPr>
    </w:p>
    <w:p>
      <w:pPr>
        <w:pBdr>
          <w:top w:val="single" w:sz="8" w:space="1" w:color="auto"/>
          <w:left w:val="single" w:sz="8" w:space="4" w:color="auto"/>
          <w:bottom w:val="single" w:sz="8" w:space="1" w:color="auto"/>
          <w:right w:val="single" w:sz="8" w:space="12" w:color="auto"/>
        </w:pBdr>
        <w:shd w:val="clear" w:color="auto" w:fill="FFFFFF"/>
        <w:spacing w:after="120"/>
        <w:ind w:right="221"/>
        <w:jc w:val="center"/>
        <w:rPr>
          <w:rFonts w:ascii="Calibri" w:hAnsi="Calibri" w:cs="Calibri"/>
          <w:b/>
          <w:smallCaps/>
          <w:sz w:val="22"/>
          <w:szCs w:val="22"/>
        </w:rPr>
      </w:pPr>
      <w:r>
        <w:rPr>
          <w:rFonts w:ascii="Calibri" w:hAnsi="Calibri" w:cs="Calibri"/>
          <w:b/>
          <w:bCs/>
          <w:smallCaps/>
          <w:sz w:val="22"/>
          <w:szCs w:val="22"/>
        </w:rPr>
        <w:t xml:space="preserve">CONVENTION BILATERALE GENERALE DE COLLABORATION ENTRE LES CENTRES DE TECHNOLOGIES AVANCEES ET LES OPERATEURS-UTILISATEURS ISSUS DES </w:t>
      </w:r>
      <w:r>
        <w:rPr>
          <w:rFonts w:ascii="Calibri" w:hAnsi="Calibri" w:cs="Calibri"/>
          <w:b/>
          <w:smallCaps/>
          <w:sz w:val="22"/>
          <w:szCs w:val="22"/>
        </w:rPr>
        <w:t>ETABLISSEMENTS D’ENSEIGNEMENT DE PROMOTION SOCIALE</w:t>
      </w:r>
    </w:p>
    <w:p>
      <w:pPr>
        <w:shd w:val="clear" w:color="auto" w:fill="FFFFFF"/>
        <w:spacing w:after="120"/>
        <w:rPr>
          <w:rFonts w:ascii="Calibri" w:hAnsi="Calibri" w:cs="Calibri"/>
          <w:sz w:val="22"/>
          <w:szCs w:val="22"/>
        </w:rPr>
      </w:pPr>
    </w:p>
    <w:p>
      <w:pPr>
        <w:shd w:val="clear" w:color="auto" w:fill="FFFFFF"/>
        <w:spacing w:after="120"/>
        <w:rPr>
          <w:rFonts w:ascii="Calibri" w:hAnsi="Calibri" w:cs="Calibri"/>
          <w:sz w:val="22"/>
          <w:szCs w:val="22"/>
        </w:rPr>
      </w:pPr>
      <w:r>
        <w:rPr>
          <w:rFonts w:ascii="Calibri" w:hAnsi="Calibri" w:cs="Calibri"/>
          <w:sz w:val="22"/>
          <w:szCs w:val="22"/>
        </w:rPr>
        <w:t>La présente convention est conclue entre :</w:t>
      </w:r>
    </w:p>
    <w:p>
      <w:pPr>
        <w:shd w:val="clear" w:color="auto" w:fill="FFFFFF"/>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jc w:val="center"/>
        <w:rPr>
          <w:rFonts w:ascii="Calibri" w:hAnsi="Calibri" w:cs="Calibri"/>
          <w:sz w:val="22"/>
          <w:szCs w:val="22"/>
        </w:rPr>
      </w:pPr>
      <w:r>
        <w:rPr>
          <w:rFonts w:ascii="Calibri" w:hAnsi="Calibri" w:cs="Calibri"/>
          <w:sz w:val="22"/>
          <w:szCs w:val="22"/>
        </w:rPr>
        <w:t>[Le Pouvoir organisateur de l’établissement où est établi le CTA]</w:t>
      </w:r>
      <w:r>
        <w:rPr>
          <w:rStyle w:val="Appelnotedebasdep"/>
          <w:rFonts w:ascii="Calibri" w:hAnsi="Calibri" w:cs="Calibri"/>
          <w:sz w:val="22"/>
          <w:szCs w:val="22"/>
        </w:rPr>
        <w:footnoteReference w:id="11"/>
      </w:r>
      <w:r>
        <w:rPr>
          <w:rFonts w:ascii="Calibri" w:hAnsi="Calibri" w:cs="Calibri"/>
          <w:sz w:val="22"/>
          <w:szCs w:val="22"/>
        </w:rPr>
        <w:t>:</w:t>
      </w: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jc w:val="center"/>
        <w:outlineLvl w:val="0"/>
        <w:rPr>
          <w:rFonts w:ascii="Calibri" w:hAnsi="Calibri" w:cs="Calibri"/>
          <w:sz w:val="22"/>
          <w:szCs w:val="22"/>
        </w:rPr>
      </w:pPr>
      <w:r>
        <w:rPr>
          <w:rFonts w:ascii="Calibri" w:hAnsi="Calibri" w:cs="Calibri"/>
          <w:noProof/>
          <w:sz w:val="22"/>
          <w:szCs w:val="22"/>
          <w:lang w:eastAsia="fr-BE"/>
        </w:rPr>
        <mc:AlternateContent>
          <mc:Choice Requires="wps">
            <w:drawing>
              <wp:anchor distT="0" distB="0" distL="114299" distR="114299" simplePos="0" relativeHeight="251633664" behindDoc="0" locked="0" layoutInCell="1" allowOverlap="1">
                <wp:simplePos x="0" y="0"/>
                <wp:positionH relativeFrom="margin">
                  <wp:posOffset>7491729</wp:posOffset>
                </wp:positionH>
                <wp:positionV relativeFrom="paragraph">
                  <wp:posOffset>57785</wp:posOffset>
                </wp:positionV>
                <wp:extent cx="0" cy="365760"/>
                <wp:effectExtent l="0" t="0" r="19050" b="34290"/>
                <wp:wrapNone/>
                <wp:docPr id="11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576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33664;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589.9pt,4.55pt" to="589.9pt,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P42EwIAACkEAAAOAAAAZHJzL2Uyb0RvYy54bWysU8GO2jAQvVfqP1i+QxI2sG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DLTLMowU&#10;6UCkjVAcTUJveuMKcKnU1obq6Em9mo2m3x1SumqJ2vPI8e1sICwLEcm7kLBxBjLs+i+agQ85eB0b&#10;dWpsFyChBegU9Tjf9OAnj+hwSOH0YTZ9nEWpElJc44x1/jPXHQpGiSVQjrjkuHE+8CDF1SWkUXot&#10;pIxqS4X6Eud5Po0BTkvBwmVwc3a/q6RFRxLmJX6xKLi5d7P6oFgEazlhq4vtiZCDDcmlCnhQCdC5&#10;WMNA/HhKn1bz1Twf5ZPZapSndT36tK7y0WydPU7rh7qq6uxnoJblRSsY4yqwuw5nlv+d+JdnMozV&#10;bTxvbUjeo8d+AdnrP5KOUgb1hjnYaXbe2qvEMI/R+fJ2wsDf78G+f+HLXwAAAP//AwBQSwMEFAAG&#10;AAgAAAAhAAvkAOLeAAAACgEAAA8AAABkcnMvZG93bnJldi54bWxMj8FOwzAQRO9I/IO1SNyoE4Sc&#10;NsSpKgRckKhaEL1u420SEa+j2G3Sv8cVBzjOzmjmbbGcbCdONPjWsYZ0loAgrpxpudbw+fFyNwfh&#10;A7LBzjFpOJOHZXl9VWBu3MgbOm1DLWIJ+xw1NCH0uZS+asiin7meOHoHN1gMUQ61NAOOsdx28j5J&#10;lLTYclxosKenhqrv7dFqmO9wXD+3K/VQ1Tt1eD9nr1/rN61vb6bVI4hAU/gLwwU/okMZmfbuyMaL&#10;Luo0W0T2oGGRgrgEfg97DUplIMtC/n+h/AEAAP//AwBQSwECLQAUAAYACAAAACEAtoM4kv4AAADh&#10;AQAAEwAAAAAAAAAAAAAAAAAAAAAAW0NvbnRlbnRfVHlwZXNdLnhtbFBLAQItABQABgAIAAAAIQA4&#10;/SH/1gAAAJQBAAALAAAAAAAAAAAAAAAAAC8BAABfcmVscy8ucmVsc1BLAQItABQABgAIAAAAIQBv&#10;mP42EwIAACkEAAAOAAAAAAAAAAAAAAAAAC4CAABkcnMvZTJvRG9jLnhtbFBLAQItABQABgAIAAAA&#10;IQAL5ADi3gAAAAoBAAAPAAAAAAAAAAAAAAAAAG0EAABkcnMvZG93bnJldi54bWxQSwUGAAAAAAQA&#10;BADzAAAAeAUAAAAA&#10;" strokeweight=".35pt">
                <w10:wrap anchorx="margin"/>
              </v:line>
            </w:pict>
          </mc:Fallback>
        </mc:AlternateContent>
      </w:r>
      <w:r>
        <w:rPr>
          <w:rFonts w:ascii="Calibri" w:hAnsi="Calibri" w:cs="Calibri"/>
          <w:sz w:val="22"/>
          <w:szCs w:val="22"/>
        </w:rPr>
        <w:t>Représenté par</w:t>
      </w:r>
      <w:r>
        <w:rPr>
          <w:rStyle w:val="Appelnotedebasdep"/>
          <w:rFonts w:ascii="Calibri" w:hAnsi="Calibri" w:cs="Calibri"/>
          <w:sz w:val="22"/>
          <w:szCs w:val="22"/>
        </w:rPr>
        <w:footnoteReference w:id="12"/>
      </w:r>
      <w:r>
        <w:rPr>
          <w:rFonts w:ascii="Calibri" w:hAnsi="Calibri" w:cs="Calibri"/>
          <w:sz w:val="22"/>
          <w:szCs w:val="22"/>
        </w:rPr>
        <w:t> :</w:t>
      </w: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r>
        <w:rPr>
          <w:rFonts w:ascii="Calibri" w:hAnsi="Calibri" w:cs="Calibri"/>
          <w:noProof/>
          <w:sz w:val="22"/>
          <w:szCs w:val="22"/>
          <w:lang w:eastAsia="fr-BE"/>
        </w:rPr>
        <mc:AlternateContent>
          <mc:Choice Requires="wps">
            <w:drawing>
              <wp:anchor distT="0" distB="0" distL="114299" distR="114299" simplePos="0" relativeHeight="251634688" behindDoc="0" locked="0" layoutInCell="1" allowOverlap="1">
                <wp:simplePos x="0" y="0"/>
                <wp:positionH relativeFrom="margin">
                  <wp:posOffset>7186929</wp:posOffset>
                </wp:positionH>
                <wp:positionV relativeFrom="paragraph">
                  <wp:posOffset>213360</wp:posOffset>
                </wp:positionV>
                <wp:extent cx="0" cy="365760"/>
                <wp:effectExtent l="0" t="0" r="19050" b="34290"/>
                <wp:wrapNone/>
                <wp:docPr id="1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576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34688;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565.9pt,16.8pt" to="565.9pt,4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QttEwIAACkEAAAOAAAAZHJzL2Uyb0RvYy54bWysU8GO2jAQvVfqP1i+QxLIsh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DLTLoD+K&#10;dCDSs1AcTUNveuMKcKnU1obq6Em9mmdNvzukdNUSteeR49vZQFgWIpJ3IWHjDGTY9V80Ax9y8Do2&#10;6tTYLkBCC9Ap6nG+6cFPHtHhkMLpdPbwOItSJaS4xhnr/GeuOxSMEkugHHHJ8dn5wIMUV5eQRumN&#10;kDKqLRXqSzyfL9IY4LQULFwGN2f3u0padCRhXuIXi4KbezerD4pFsJYTtr7Yngg52JBcqoAHlQCd&#10;izUMxI9FuljP1/N8lE9m61Ge1vXo06bKR7NN9vhQT+uqqrOfgVqWF61gjKvA7jqcWf534l+eyTBW&#10;t/G8tSF5jx77BWSv/0g6ShnUG+Zgp9l5a68SwzxG58vbCQN/vwf7/oWvfgEAAP//AwBQSwMEFAAG&#10;AAgAAAAhAJew8eHfAAAACwEAAA8AAABkcnMvZG93bnJldi54bWxMj8FOwzAQRO9I/IO1SFwQddJI&#10;EYQ4VShwyaESScXZiZckEK8j223D3+OKQznOzmjmbb5Z9MSOaN1oSEC8ioAhdUaN1AvYN2/3D8Cc&#10;l6TkZAgF/KCDTXF9lctMmRO947H2PQsl5DIpYPB+zjh33YBaupWZkYL3aayWPkjbc2XlKZTria+j&#10;KOVajhQWBjnjdsDuuz5oAe1rmW6byux3zUdb2bvqq6yfX4S4vVnKJ2AeF38Jwxk/oEMRmFpzIOXY&#10;FHScxIHdC0iSFNg58XdpBTzGa+BFzv//UPwCAAD//wMAUEsBAi0AFAAGAAgAAAAhALaDOJL+AAAA&#10;4QEAABMAAAAAAAAAAAAAAAAAAAAAAFtDb250ZW50X1R5cGVzXS54bWxQSwECLQAUAAYACAAAACEA&#10;OP0h/9YAAACUAQAACwAAAAAAAAAAAAAAAAAvAQAAX3JlbHMvLnJlbHNQSwECLQAUAAYACAAAACEA&#10;6S0LbRMCAAApBAAADgAAAAAAAAAAAAAAAAAuAgAAZHJzL2Uyb0RvYy54bWxQSwECLQAUAAYACAAA&#10;ACEAl7Dx4d8AAAALAQAADwAAAAAAAAAAAAAAAABtBAAAZHJzL2Rvd25yZXYueG1sUEsFBgAAAAAE&#10;AAQA8wAAAHkFAAAAAA==&#10;" strokeweight=".7pt">
                <w10:wrap anchorx="margin"/>
              </v:line>
            </w:pict>
          </mc:Fallback>
        </mc:AlternateContent>
      </w:r>
    </w:p>
    <w:p>
      <w:pPr>
        <w:spacing w:after="120"/>
        <w:jc w:val="both"/>
        <w:rPr>
          <w:rFonts w:ascii="Calibri" w:hAnsi="Calibri" w:cs="Calibri"/>
          <w:sz w:val="22"/>
          <w:szCs w:val="22"/>
        </w:rPr>
      </w:pPr>
      <w:r>
        <w:rPr>
          <w:rFonts w:ascii="Calibri" w:hAnsi="Calibri" w:cs="Calibri"/>
          <w:sz w:val="22"/>
          <w:szCs w:val="22"/>
        </w:rPr>
        <w:t>Et :</w:t>
      </w:r>
    </w:p>
    <w:p>
      <w:pPr>
        <w:pBdr>
          <w:top w:val="single" w:sz="4" w:space="1" w:color="auto"/>
          <w:left w:val="single" w:sz="4" w:space="0" w:color="auto"/>
          <w:bottom w:val="single" w:sz="4" w:space="1" w:color="auto"/>
          <w:right w:val="single" w:sz="4" w:space="4" w:color="auto"/>
        </w:pBdr>
        <w:spacing w:after="120"/>
        <w:jc w:val="center"/>
        <w:outlineLvl w:val="0"/>
        <w:rPr>
          <w:rFonts w:ascii="Calibri" w:hAnsi="Calibri" w:cs="Calibri"/>
          <w:sz w:val="22"/>
          <w:szCs w:val="22"/>
        </w:rPr>
      </w:pPr>
      <w:r>
        <w:rPr>
          <w:rFonts w:ascii="Calibri" w:hAnsi="Calibri" w:cs="Calibri"/>
          <w:sz w:val="22"/>
          <w:szCs w:val="22"/>
        </w:rPr>
        <w:t>L’opérateur-utilisateur</w:t>
      </w:r>
      <w:r>
        <w:rPr>
          <w:rStyle w:val="Appelnotedebasdep"/>
          <w:rFonts w:ascii="Calibri" w:hAnsi="Calibri" w:cs="Calibri"/>
          <w:sz w:val="22"/>
          <w:szCs w:val="22"/>
        </w:rPr>
        <w:footnoteReference w:id="13"/>
      </w:r>
      <w:r>
        <w:rPr>
          <w:rFonts w:ascii="Calibri" w:hAnsi="Calibri" w:cs="Calibri"/>
          <w:sz w:val="22"/>
          <w:szCs w:val="22"/>
        </w:rPr>
        <w:t> :</w:t>
      </w: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jc w:val="center"/>
        <w:outlineLvl w:val="0"/>
        <w:rPr>
          <w:rFonts w:ascii="Calibri" w:hAnsi="Calibri" w:cs="Calibri"/>
          <w:sz w:val="22"/>
          <w:szCs w:val="22"/>
        </w:rPr>
      </w:pPr>
      <w:r>
        <w:rPr>
          <w:rFonts w:ascii="Calibri" w:hAnsi="Calibri" w:cs="Calibri"/>
          <w:sz w:val="22"/>
          <w:szCs w:val="22"/>
        </w:rPr>
        <w:t>Représenté par</w:t>
      </w:r>
      <w:r>
        <w:rPr>
          <w:rStyle w:val="Appelnotedebasdep"/>
          <w:rFonts w:ascii="Calibri" w:hAnsi="Calibri" w:cs="Calibri"/>
          <w:sz w:val="22"/>
          <w:szCs w:val="22"/>
        </w:rPr>
        <w:footnoteReference w:id="14"/>
      </w:r>
      <w:r>
        <w:rPr>
          <w:rFonts w:ascii="Calibri" w:hAnsi="Calibri" w:cs="Calibri"/>
          <w:sz w:val="22"/>
          <w:szCs w:val="22"/>
        </w:rPr>
        <w:t> :</w:t>
      </w: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shd w:val="clear" w:color="auto" w:fill="FFFFFF"/>
        <w:spacing w:after="120"/>
        <w:rPr>
          <w:rFonts w:ascii="Calibri" w:hAnsi="Calibri" w:cs="Calibri"/>
          <w:sz w:val="22"/>
          <w:szCs w:val="22"/>
        </w:rPr>
      </w:pPr>
      <w:r>
        <w:rPr>
          <w:rFonts w:ascii="Calibri" w:hAnsi="Calibri" w:cs="Calibri"/>
          <w:b/>
          <w:bCs/>
          <w:sz w:val="22"/>
          <w:szCs w:val="22"/>
        </w:rPr>
        <w:br w:type="page"/>
      </w:r>
      <w:r>
        <w:rPr>
          <w:rFonts w:ascii="Calibri" w:hAnsi="Calibri" w:cs="Calibri"/>
          <w:b/>
          <w:bCs/>
          <w:sz w:val="22"/>
          <w:szCs w:val="22"/>
        </w:rPr>
        <w:lastRenderedPageBreak/>
        <w:t>Article 1 : Cadre légal</w:t>
      </w:r>
    </w:p>
    <w:p>
      <w:pPr>
        <w:shd w:val="clear" w:color="auto" w:fill="FFFFFF"/>
        <w:spacing w:after="240"/>
        <w:jc w:val="both"/>
        <w:rPr>
          <w:rFonts w:ascii="Calibri" w:hAnsi="Calibri" w:cs="Calibri"/>
          <w:sz w:val="22"/>
          <w:szCs w:val="22"/>
        </w:rPr>
      </w:pPr>
      <w:r>
        <w:rPr>
          <w:rFonts w:ascii="Calibri" w:hAnsi="Calibri" w:cs="Calibri"/>
          <w:sz w:val="22"/>
          <w:szCs w:val="22"/>
        </w:rPr>
        <w:t>La présente convention est conclue en application de l’article 6 du décret du 11 avril 2014 garantissant l’équipement pédagogique de l’enseignement qualifiant et fixant l’organisation des Centres de Technologies Avancées.</w:t>
      </w:r>
    </w:p>
    <w:p>
      <w:pPr>
        <w:shd w:val="clear" w:color="auto" w:fill="FFFFFF"/>
        <w:spacing w:after="120"/>
        <w:outlineLvl w:val="0"/>
        <w:rPr>
          <w:rFonts w:ascii="Calibri" w:hAnsi="Calibri" w:cs="Calibri"/>
          <w:b/>
          <w:sz w:val="22"/>
          <w:szCs w:val="22"/>
        </w:rPr>
      </w:pPr>
      <w:r>
        <w:rPr>
          <w:rFonts w:ascii="Calibri" w:hAnsi="Calibri" w:cs="Calibri"/>
          <w:b/>
          <w:bCs/>
          <w:sz w:val="22"/>
          <w:szCs w:val="22"/>
        </w:rPr>
        <w:t>Article 2 : Champ d’application</w:t>
      </w:r>
    </w:p>
    <w:p>
      <w:pPr>
        <w:shd w:val="clear" w:color="auto" w:fill="FFFFFF"/>
        <w:spacing w:after="240"/>
        <w:jc w:val="both"/>
        <w:outlineLvl w:val="0"/>
        <w:rPr>
          <w:rFonts w:ascii="Calibri" w:hAnsi="Calibri" w:cs="Calibri"/>
          <w:sz w:val="22"/>
          <w:szCs w:val="22"/>
        </w:rPr>
      </w:pPr>
      <w:r>
        <w:rPr>
          <w:rFonts w:ascii="Calibri" w:hAnsi="Calibri" w:cs="Calibri"/>
          <w:sz w:val="22"/>
          <w:szCs w:val="22"/>
        </w:rPr>
        <w:t>Cette convention s’applique aux collaborations entre les Centres de Technologies Avancées et les opérateurs-utilisateurs issus des établissements d’enseignement de promotion sociale.</w:t>
      </w:r>
    </w:p>
    <w:p>
      <w:pPr>
        <w:shd w:val="clear" w:color="auto" w:fill="FFFFFF"/>
        <w:spacing w:after="120"/>
        <w:jc w:val="both"/>
        <w:outlineLvl w:val="0"/>
        <w:rPr>
          <w:rFonts w:ascii="Calibri" w:hAnsi="Calibri" w:cs="Calibri"/>
          <w:b/>
          <w:sz w:val="22"/>
          <w:szCs w:val="22"/>
        </w:rPr>
      </w:pPr>
      <w:r>
        <w:rPr>
          <w:rFonts w:ascii="Calibri" w:hAnsi="Calibri" w:cs="Calibri"/>
          <w:b/>
          <w:bCs/>
          <w:sz w:val="22"/>
          <w:szCs w:val="22"/>
        </w:rPr>
        <w:t>Article 3 : Définitions</w:t>
      </w:r>
    </w:p>
    <w:p>
      <w:pPr>
        <w:shd w:val="clear" w:color="auto" w:fill="FFFFFF"/>
        <w:tabs>
          <w:tab w:val="left" w:pos="-3686"/>
        </w:tabs>
        <w:spacing w:after="120"/>
        <w:ind w:right="14"/>
        <w:jc w:val="both"/>
        <w:rPr>
          <w:rFonts w:ascii="Calibri" w:hAnsi="Calibri" w:cs="Calibri"/>
          <w:sz w:val="22"/>
          <w:szCs w:val="22"/>
        </w:rPr>
      </w:pPr>
      <w:r>
        <w:rPr>
          <w:rFonts w:ascii="Calibri" w:hAnsi="Calibri" w:cs="Calibri"/>
          <w:sz w:val="22"/>
          <w:szCs w:val="22"/>
        </w:rPr>
        <w:t>Pour l’application de la présente convention, il y a lieu d’entendre par :</w:t>
      </w:r>
    </w:p>
    <w:p>
      <w:pPr>
        <w:numPr>
          <w:ilvl w:val="0"/>
          <w:numId w:val="67"/>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u w:val="single"/>
        </w:rPr>
        <w:t>« Centre de technologies avancées » (en abrégé « CTA »)</w:t>
      </w:r>
      <w:r>
        <w:rPr>
          <w:rFonts w:ascii="Calibri" w:hAnsi="Calibri" w:cs="Calibri"/>
          <w:sz w:val="22"/>
          <w:szCs w:val="22"/>
        </w:rPr>
        <w:t> : infrastructure mettant des équipements de pointe à disposition des élèves et des enseignants, quels que soient le réseau et le caractère d'enseignement, ainsi que des apprentis, des demandeurs d'emploi et des travailleurs, en vue de développer des formations qualifiantes ;</w:t>
      </w:r>
    </w:p>
    <w:p>
      <w:pPr>
        <w:numPr>
          <w:ilvl w:val="0"/>
          <w:numId w:val="67"/>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u w:val="single"/>
        </w:rPr>
        <w:t>« Opérateur-utilisateur »</w:t>
      </w:r>
      <w:r>
        <w:rPr>
          <w:rFonts w:ascii="Calibri" w:hAnsi="Calibri" w:cs="Calibri"/>
          <w:sz w:val="22"/>
          <w:szCs w:val="22"/>
        </w:rPr>
        <w:t> : établissements d’enseignement de promotion sociale ;</w:t>
      </w:r>
    </w:p>
    <w:p>
      <w:pPr>
        <w:numPr>
          <w:ilvl w:val="0"/>
          <w:numId w:val="67"/>
        </w:numPr>
        <w:shd w:val="clear" w:color="auto" w:fill="FFFFFF"/>
        <w:spacing w:after="120"/>
        <w:ind w:left="426"/>
        <w:jc w:val="both"/>
        <w:rPr>
          <w:rFonts w:ascii="Calibri" w:hAnsi="Calibri" w:cs="Calibri"/>
          <w:sz w:val="22"/>
          <w:szCs w:val="22"/>
        </w:rPr>
      </w:pPr>
      <w:r>
        <w:rPr>
          <w:rFonts w:ascii="Calibri" w:hAnsi="Calibri" w:cs="Calibri"/>
          <w:sz w:val="22"/>
          <w:szCs w:val="22"/>
          <w:u w:val="single"/>
        </w:rPr>
        <w:t>« Stagiaires »</w:t>
      </w:r>
      <w:r>
        <w:rPr>
          <w:rFonts w:ascii="Calibri" w:hAnsi="Calibri" w:cs="Calibri"/>
          <w:sz w:val="22"/>
          <w:szCs w:val="22"/>
        </w:rPr>
        <w:t> : étudiants de l’enseignement de promotion sociale ;</w:t>
      </w:r>
    </w:p>
    <w:p>
      <w:pPr>
        <w:numPr>
          <w:ilvl w:val="0"/>
          <w:numId w:val="67"/>
        </w:numPr>
        <w:shd w:val="clear" w:color="auto" w:fill="FFFFFF"/>
        <w:spacing w:after="240"/>
        <w:ind w:left="426"/>
        <w:jc w:val="both"/>
        <w:rPr>
          <w:rFonts w:ascii="Calibri" w:hAnsi="Calibri" w:cs="Calibri"/>
          <w:sz w:val="22"/>
          <w:szCs w:val="22"/>
        </w:rPr>
      </w:pPr>
      <w:r>
        <w:rPr>
          <w:rFonts w:ascii="Calibri" w:hAnsi="Calibri" w:cs="Calibri"/>
          <w:sz w:val="22"/>
          <w:szCs w:val="22"/>
          <w:u w:val="single"/>
        </w:rPr>
        <w:t>« Enseignants-formateurs »</w:t>
      </w:r>
      <w:r>
        <w:rPr>
          <w:rFonts w:ascii="Calibri" w:hAnsi="Calibri" w:cs="Calibri"/>
          <w:sz w:val="22"/>
          <w:szCs w:val="22"/>
        </w:rPr>
        <w:t> : enseignants ou formateurs désignés par les établissements d’enseignement de promotion sociale dans le but de former les étudiants au sein d’un CTA.</w:t>
      </w:r>
    </w:p>
    <w:p>
      <w:pPr>
        <w:shd w:val="clear" w:color="auto" w:fill="FFFFFF"/>
        <w:spacing w:after="120"/>
        <w:outlineLvl w:val="0"/>
        <w:rPr>
          <w:rFonts w:ascii="Calibri" w:hAnsi="Calibri" w:cs="Calibri"/>
          <w:b/>
          <w:bCs/>
          <w:sz w:val="22"/>
          <w:szCs w:val="22"/>
        </w:rPr>
      </w:pPr>
      <w:r>
        <w:rPr>
          <w:rFonts w:ascii="Calibri" w:hAnsi="Calibri" w:cs="Calibri"/>
          <w:b/>
          <w:bCs/>
          <w:sz w:val="22"/>
          <w:szCs w:val="22"/>
        </w:rPr>
        <w:t>Article 4 : Engagements généraux des partenaires</w:t>
      </w:r>
    </w:p>
    <w:p>
      <w:pPr>
        <w:shd w:val="clear" w:color="auto" w:fill="FFFFFF"/>
        <w:spacing w:after="120"/>
        <w:rPr>
          <w:rFonts w:ascii="Calibri" w:hAnsi="Calibri" w:cs="Calibri"/>
          <w:sz w:val="22"/>
          <w:szCs w:val="22"/>
        </w:rPr>
      </w:pPr>
      <w:r>
        <w:rPr>
          <w:rFonts w:ascii="Calibri" w:hAnsi="Calibri" w:cs="Calibri"/>
          <w:sz w:val="22"/>
          <w:szCs w:val="22"/>
        </w:rPr>
        <w:t xml:space="preserve">§1. </w:t>
      </w:r>
      <w:r>
        <w:rPr>
          <w:rFonts w:ascii="Calibri" w:hAnsi="Calibri" w:cs="Calibri"/>
          <w:sz w:val="22"/>
          <w:szCs w:val="22"/>
          <w:u w:val="single"/>
        </w:rPr>
        <w:t>Engagements du Pouvoir organisateur auprès duquel est établi le CTA</w:t>
      </w:r>
      <w:r>
        <w:rPr>
          <w:rFonts w:ascii="Calibri" w:hAnsi="Calibri" w:cs="Calibri"/>
          <w:sz w:val="22"/>
          <w:szCs w:val="22"/>
        </w:rPr>
        <w:t xml:space="preserve"> :</w:t>
      </w:r>
    </w:p>
    <w:p>
      <w:pPr>
        <w:widowControl w:val="0"/>
        <w:numPr>
          <w:ilvl w:val="0"/>
          <w:numId w:val="68"/>
        </w:numPr>
        <w:shd w:val="clear" w:color="auto" w:fill="FFFFFF"/>
        <w:autoSpaceDE w:val="0"/>
        <w:autoSpaceDN w:val="0"/>
        <w:adjustRightInd w:val="0"/>
        <w:spacing w:after="120"/>
        <w:ind w:left="426"/>
        <w:jc w:val="both"/>
        <w:rPr>
          <w:rFonts w:ascii="Calibri" w:hAnsi="Calibri" w:cs="Calibri"/>
          <w:sz w:val="22"/>
          <w:szCs w:val="22"/>
        </w:rPr>
      </w:pPr>
      <w:r>
        <w:rPr>
          <w:rFonts w:ascii="Calibri" w:hAnsi="Calibri" w:cs="Calibri"/>
          <w:sz w:val="22"/>
          <w:szCs w:val="22"/>
        </w:rPr>
        <w:t>Le CTA accueille sans discrimination les étudiants et les enseignants issus des établissements d'enseignement de promotion sociale ;</w:t>
      </w:r>
    </w:p>
    <w:p>
      <w:pPr>
        <w:widowControl w:val="0"/>
        <w:numPr>
          <w:ilvl w:val="0"/>
          <w:numId w:val="68"/>
        </w:numPr>
        <w:shd w:val="clear" w:color="auto" w:fill="FFFFFF"/>
        <w:autoSpaceDE w:val="0"/>
        <w:autoSpaceDN w:val="0"/>
        <w:adjustRightInd w:val="0"/>
        <w:spacing w:after="120"/>
        <w:ind w:left="426"/>
        <w:jc w:val="both"/>
        <w:rPr>
          <w:rFonts w:ascii="Calibri" w:hAnsi="Calibri" w:cs="Calibri"/>
          <w:sz w:val="22"/>
          <w:szCs w:val="22"/>
        </w:rPr>
      </w:pPr>
      <w:r>
        <w:rPr>
          <w:rFonts w:ascii="Calibri" w:hAnsi="Calibri" w:cs="Calibri"/>
          <w:sz w:val="22"/>
          <w:szCs w:val="22"/>
        </w:rPr>
        <w:t>Le CTA met à disposition de l’opérateur-utilisateur l'infrastructure, les locaux équipés, le matériel didactique nécessaire au déroulement des formations ainsi que le personnel administratif de liaison. Ces équipements doivent être en parfait ordre de marche et respecter toutes les normes légales (sécurité, environnement, etc.).</w:t>
      </w:r>
    </w:p>
    <w:p>
      <w:pPr>
        <w:numPr>
          <w:ilvl w:val="0"/>
          <w:numId w:val="68"/>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rPr>
        <w:t>Le CTA s’engage à ne pas utiliser les informations personnelles transmises par l’opérateur-utilisateur à des fins publicitaires ou commerciales.</w:t>
      </w:r>
    </w:p>
    <w:p>
      <w:pPr>
        <w:shd w:val="clear" w:color="auto" w:fill="FFFFFF"/>
        <w:spacing w:after="120"/>
        <w:jc w:val="both"/>
        <w:rPr>
          <w:rFonts w:ascii="Calibri" w:hAnsi="Calibri" w:cs="Calibri"/>
          <w:sz w:val="22"/>
          <w:szCs w:val="22"/>
        </w:rPr>
      </w:pPr>
      <w:r>
        <w:rPr>
          <w:rFonts w:ascii="Calibri" w:hAnsi="Calibri" w:cs="Calibri"/>
          <w:sz w:val="22"/>
          <w:szCs w:val="22"/>
        </w:rPr>
        <w:t xml:space="preserve">§2. </w:t>
      </w:r>
      <w:r>
        <w:rPr>
          <w:rFonts w:ascii="Calibri" w:hAnsi="Calibri" w:cs="Calibri"/>
          <w:sz w:val="22"/>
          <w:szCs w:val="22"/>
          <w:u w:val="single"/>
        </w:rPr>
        <w:t xml:space="preserve">Engagements de l’opérateur-utilisateur </w:t>
      </w:r>
      <w:r>
        <w:rPr>
          <w:rFonts w:ascii="Calibri" w:hAnsi="Calibri" w:cs="Calibri"/>
          <w:sz w:val="22"/>
          <w:szCs w:val="22"/>
        </w:rPr>
        <w:t>:</w:t>
      </w:r>
    </w:p>
    <w:p>
      <w:pPr>
        <w:widowControl w:val="0"/>
        <w:numPr>
          <w:ilvl w:val="0"/>
          <w:numId w:val="69"/>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 charge de demander l’accès aux équipements du CTA auprès du coordonnateur de ce dernier qui établit, avec l’opérateur-utilisateur, un calendrier de travail.</w:t>
      </w:r>
    </w:p>
    <w:p>
      <w:pPr>
        <w:widowControl w:val="0"/>
        <w:numPr>
          <w:ilvl w:val="0"/>
          <w:numId w:val="69"/>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faire encadrer les stagiaires par des enseignants-formateurs pouvant attester d’une maitrise des équipements mis à disposition par le CTA, soit au moyen d’une attestation délivrée, soit au terme d’une formation préalable soit en raison d’une expérience professionnelle suffisante ;</w:t>
      </w:r>
    </w:p>
    <w:p>
      <w:pPr>
        <w:widowControl w:val="0"/>
        <w:numPr>
          <w:ilvl w:val="0"/>
          <w:numId w:val="69"/>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Les stagiaires et les enseignants-formateurs de l'opérateur-utilisateur s’engagent à respecter les dispositions du règlement d'ordre intérieur du CTA pendant toute la durée de la formation ;</w:t>
      </w:r>
    </w:p>
    <w:p>
      <w:pPr>
        <w:widowControl w:val="0"/>
        <w:numPr>
          <w:ilvl w:val="0"/>
          <w:numId w:val="69"/>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utiliser en bon père de famille les équipements mis à sa disposition par le CTA ;</w:t>
      </w:r>
    </w:p>
    <w:p>
      <w:pPr>
        <w:widowControl w:val="0"/>
        <w:numPr>
          <w:ilvl w:val="0"/>
          <w:numId w:val="69"/>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 xml:space="preserve">L’opérateur-utilisateur s’engage à fournir au coordonnateur du CTA, au plus tard le premier jour de la formation, une liste complète des stagiaires et des enseignants-formateurs inscrits aux formations et la preuve que ceux-ci sont assurés pendant toute la durée de la formation. La liste </w:t>
      </w:r>
      <w:r>
        <w:rPr>
          <w:rFonts w:ascii="Calibri" w:hAnsi="Calibri" w:cs="Calibri"/>
          <w:sz w:val="22"/>
          <w:szCs w:val="22"/>
        </w:rPr>
        <w:lastRenderedPageBreak/>
        <w:t>comprendra les noms, prénoms et dates de naissance de chacun des stagiaires et de chacun des enseignants-formateurs. La transmission de ces informations est contractuelle. La non transmission de ces informations peut entraîner l’annulation de la formation ;</w:t>
      </w:r>
    </w:p>
    <w:p>
      <w:pPr>
        <w:widowControl w:val="0"/>
        <w:numPr>
          <w:ilvl w:val="0"/>
          <w:numId w:val="69"/>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expliquer aux stagiaires qu’il envoie en formation au sein du CTA l’utilisation faite des données personnelles fournies au coordonnateur du centre avant chaque formation (voir article 8), ainsi que leur droit de demander au responsable du traitement final la rectification ou l'effacement de données à caractère personnel, ou une limitation du traitement des données à caractère personnel relatives à la personne concernée, leur droit de s'opposer à ce traitement et leur droit d'introduire une réclamation auprès d'une autorité de contrôle ;</w:t>
      </w:r>
    </w:p>
    <w:p>
      <w:pPr>
        <w:widowControl w:val="0"/>
        <w:numPr>
          <w:ilvl w:val="0"/>
          <w:numId w:val="69"/>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L'opérateur-utilisateur s’engage à assurer l’organisation et le contrôle du transport et de l'hébergement des stagiaires et des enseignants-formateurs ;</w:t>
      </w:r>
    </w:p>
    <w:p>
      <w:pPr>
        <w:widowControl w:val="0"/>
        <w:numPr>
          <w:ilvl w:val="0"/>
          <w:numId w:val="69"/>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Dans le cas où l'opérateur-utilisateur voudrait réaliser et emporter un produit fini, il est tenu d'en informer le coordonnateur du CTA lors de sa demande d'accès au CTA. Celui-ci se réserve néanmoins le droit de ne pas accéder à cette requête</w:t>
      </w:r>
      <w:r>
        <w:rPr>
          <w:rStyle w:val="Appelnotedebasdep"/>
          <w:rFonts w:ascii="Calibri" w:hAnsi="Calibri" w:cs="Calibri"/>
          <w:sz w:val="22"/>
          <w:szCs w:val="22"/>
        </w:rPr>
        <w:footnoteReference w:id="15"/>
      </w:r>
      <w:r>
        <w:rPr>
          <w:rFonts w:ascii="Calibri" w:hAnsi="Calibri" w:cs="Calibri"/>
          <w:sz w:val="22"/>
          <w:szCs w:val="22"/>
        </w:rPr>
        <w:t> ;</w:t>
      </w:r>
    </w:p>
    <w:p>
      <w:pPr>
        <w:numPr>
          <w:ilvl w:val="0"/>
          <w:numId w:val="69"/>
        </w:numPr>
        <w:shd w:val="clear" w:color="auto" w:fill="FFFFFF"/>
        <w:spacing w:after="240"/>
        <w:ind w:left="426"/>
        <w:jc w:val="both"/>
        <w:rPr>
          <w:rFonts w:ascii="Calibri" w:hAnsi="Calibri" w:cs="Calibri"/>
          <w:sz w:val="22"/>
          <w:szCs w:val="22"/>
        </w:rPr>
      </w:pPr>
      <w:r>
        <w:rPr>
          <w:rFonts w:ascii="Calibri" w:hAnsi="Calibri" w:cs="Calibri"/>
          <w:sz w:val="22"/>
          <w:szCs w:val="22"/>
        </w:rPr>
        <w:t>L’opérateur-utilisateur s’engage à participer à l’évaluation des CTA s’il est sollicité à cet égard.</w:t>
      </w:r>
    </w:p>
    <w:p>
      <w:pPr>
        <w:shd w:val="clear" w:color="auto" w:fill="FFFFFF"/>
        <w:spacing w:after="120"/>
        <w:rPr>
          <w:rFonts w:ascii="Calibri" w:hAnsi="Calibri" w:cs="Calibri"/>
          <w:b/>
          <w:bCs/>
          <w:sz w:val="22"/>
          <w:szCs w:val="22"/>
        </w:rPr>
      </w:pPr>
      <w:r>
        <w:rPr>
          <w:rFonts w:ascii="Calibri" w:hAnsi="Calibri" w:cs="Calibri"/>
          <w:b/>
          <w:bCs/>
          <w:sz w:val="22"/>
          <w:szCs w:val="22"/>
        </w:rPr>
        <w:t>Article 5 : Organisation de la formation</w:t>
      </w:r>
    </w:p>
    <w:p>
      <w:pPr>
        <w:shd w:val="clear" w:color="auto" w:fill="FFFFFF"/>
        <w:spacing w:after="120"/>
        <w:ind w:right="36"/>
        <w:jc w:val="both"/>
        <w:rPr>
          <w:rFonts w:ascii="Calibri" w:hAnsi="Calibri" w:cs="Calibri"/>
          <w:sz w:val="22"/>
          <w:szCs w:val="22"/>
        </w:rPr>
      </w:pPr>
      <w:r>
        <w:rPr>
          <w:rFonts w:ascii="Calibri" w:hAnsi="Calibri" w:cs="Calibri"/>
          <w:sz w:val="22"/>
          <w:szCs w:val="22"/>
        </w:rPr>
        <w:t xml:space="preserve">Chaque formation peut faire l'objet d'une convention spécifique entre le CTA et l'opérateur-utilisateur précisant l'intitulé de la formation, les dates de formation, le nombre d'heures de formation, le nombre de stagiaires concernés. </w:t>
      </w:r>
    </w:p>
    <w:p>
      <w:pPr>
        <w:spacing w:after="120"/>
        <w:jc w:val="both"/>
        <w:rPr>
          <w:rFonts w:ascii="Calibri" w:hAnsi="Calibri" w:cs="Calibri"/>
          <w:sz w:val="22"/>
          <w:szCs w:val="22"/>
        </w:rPr>
      </w:pPr>
      <w:r>
        <w:rPr>
          <w:rFonts w:ascii="Calibri" w:hAnsi="Calibri" w:cs="Calibri"/>
          <w:sz w:val="22"/>
          <w:szCs w:val="22"/>
        </w:rPr>
        <w:t xml:space="preserve">Dans tous les cas, l’opérateur-utilisateur s’engage à fournir au CTA la liste des participants ainsi que l’identité du formateur </w:t>
      </w:r>
      <w:r>
        <w:rPr>
          <w:rFonts w:ascii="Calibri" w:hAnsi="Calibri" w:cs="Calibri"/>
          <w:b/>
          <w:sz w:val="22"/>
          <w:szCs w:val="22"/>
          <w:u w:val="single"/>
        </w:rPr>
        <w:t>au plus tard le premier jour de la formation</w:t>
      </w:r>
      <w:r>
        <w:rPr>
          <w:rFonts w:ascii="Calibri" w:hAnsi="Calibri" w:cs="Calibri"/>
          <w:sz w:val="22"/>
          <w:szCs w:val="22"/>
        </w:rPr>
        <w:t>. Le CTA doit quant à lui obligatoirement communiquer les renseignements suivants aux futurs utilisateurs avant le début de la formation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 xml:space="preserve">le règlement d’ordre intérieur du CTA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le programme de la formation</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 xml:space="preserve">l’analyse des risques pour les équipements proposés </w:t>
      </w:r>
    </w:p>
    <w:p>
      <w:pPr>
        <w:shd w:val="clear" w:color="auto" w:fill="FFFFFF"/>
        <w:spacing w:after="240"/>
        <w:ind w:right="34"/>
        <w:jc w:val="both"/>
        <w:rPr>
          <w:rFonts w:ascii="Calibri" w:hAnsi="Calibri" w:cs="Calibri"/>
          <w:sz w:val="22"/>
          <w:szCs w:val="22"/>
        </w:rPr>
      </w:pPr>
      <w:r>
        <w:rPr>
          <w:rFonts w:ascii="Calibri" w:hAnsi="Calibri" w:cs="Calibri"/>
          <w:sz w:val="22"/>
          <w:szCs w:val="22"/>
        </w:rPr>
        <w:t>Un état des lieux est établi avant le début du cycle de chaque formation. En cas de constatation de dysfonctionnement des équipements, l'opérateur-utilisateur signalera la chose avant le début de la formation.</w:t>
      </w:r>
    </w:p>
    <w:p>
      <w:pPr>
        <w:widowControl w:val="0"/>
        <w:shd w:val="clear" w:color="auto" w:fill="FFFFFF"/>
        <w:autoSpaceDE w:val="0"/>
        <w:autoSpaceDN w:val="0"/>
        <w:adjustRightInd w:val="0"/>
        <w:spacing w:after="120"/>
        <w:ind w:right="6"/>
        <w:jc w:val="both"/>
        <w:rPr>
          <w:rFonts w:ascii="Calibri" w:hAnsi="Calibri" w:cs="Calibri"/>
          <w:b/>
          <w:bCs/>
          <w:sz w:val="22"/>
          <w:szCs w:val="22"/>
        </w:rPr>
      </w:pPr>
      <w:r>
        <w:rPr>
          <w:rFonts w:ascii="Calibri" w:hAnsi="Calibri" w:cs="Calibri"/>
          <w:b/>
          <w:bCs/>
          <w:sz w:val="22"/>
          <w:szCs w:val="22"/>
        </w:rPr>
        <w:t>Article 6 : Responsabilités des partenaires</w:t>
      </w:r>
    </w:p>
    <w:p>
      <w:pPr>
        <w:widowControl w:val="0"/>
        <w:shd w:val="clear" w:color="auto" w:fill="FFFFFF"/>
        <w:autoSpaceDE w:val="0"/>
        <w:autoSpaceDN w:val="0"/>
        <w:adjustRightInd w:val="0"/>
        <w:spacing w:after="120"/>
        <w:ind w:right="18"/>
        <w:jc w:val="both"/>
        <w:rPr>
          <w:rFonts w:ascii="Calibri" w:hAnsi="Calibri" w:cs="Calibri"/>
          <w:sz w:val="22"/>
          <w:szCs w:val="22"/>
        </w:rPr>
      </w:pPr>
      <w:r>
        <w:rPr>
          <w:rFonts w:ascii="Calibri" w:hAnsi="Calibri" w:cs="Calibri"/>
          <w:sz w:val="22"/>
          <w:szCs w:val="22"/>
        </w:rPr>
        <w:t>§1</w:t>
      </w:r>
      <w:r>
        <w:rPr>
          <w:rFonts w:ascii="Calibri" w:hAnsi="Calibri" w:cs="Calibri"/>
          <w:sz w:val="22"/>
          <w:szCs w:val="22"/>
          <w:vertAlign w:val="superscript"/>
        </w:rPr>
        <w:t>er</w:t>
      </w:r>
      <w:r>
        <w:rPr>
          <w:rFonts w:ascii="Calibri" w:hAnsi="Calibri" w:cs="Calibri"/>
          <w:sz w:val="22"/>
          <w:szCs w:val="22"/>
        </w:rPr>
        <w:t xml:space="preserve">. </w:t>
      </w:r>
      <w:r>
        <w:rPr>
          <w:rFonts w:ascii="Calibri" w:hAnsi="Calibri" w:cs="Calibri"/>
          <w:sz w:val="22"/>
          <w:szCs w:val="22"/>
          <w:u w:val="single"/>
        </w:rPr>
        <w:t>Responsabilités de l’opérateur-utilisateur</w:t>
      </w:r>
    </w:p>
    <w:p>
      <w:pPr>
        <w:widowControl w:val="0"/>
        <w:numPr>
          <w:ilvl w:val="0"/>
          <w:numId w:val="70"/>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 xml:space="preserve">L'opérateur-utilisateur veillera à ce que les enseignants-formateurs et les stagiaires soient couverts pour l'ensemble des risques (responsabilité civile, accidents du travail, etc.) ; </w:t>
      </w:r>
    </w:p>
    <w:p>
      <w:pPr>
        <w:widowControl w:val="0"/>
        <w:numPr>
          <w:ilvl w:val="0"/>
          <w:numId w:val="70"/>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L'opérateur-utilisateur est responsable du comportement des personnes et des dégâts éventuels causés à l'infrastructure.</w:t>
      </w:r>
    </w:p>
    <w:p>
      <w:pPr>
        <w:widowControl w:val="0"/>
        <w:shd w:val="clear" w:color="auto" w:fill="FFFFFF"/>
        <w:autoSpaceDE w:val="0"/>
        <w:autoSpaceDN w:val="0"/>
        <w:adjustRightInd w:val="0"/>
        <w:spacing w:after="120"/>
        <w:ind w:right="18"/>
        <w:jc w:val="both"/>
        <w:rPr>
          <w:rFonts w:ascii="Calibri" w:hAnsi="Calibri" w:cs="Calibri"/>
          <w:sz w:val="22"/>
          <w:szCs w:val="22"/>
        </w:rPr>
      </w:pPr>
      <w:r>
        <w:rPr>
          <w:rFonts w:ascii="Calibri" w:hAnsi="Calibri" w:cs="Calibri"/>
          <w:sz w:val="22"/>
          <w:szCs w:val="22"/>
        </w:rPr>
        <w:t xml:space="preserve">§2. </w:t>
      </w:r>
      <w:r>
        <w:rPr>
          <w:rFonts w:ascii="Calibri" w:hAnsi="Calibri" w:cs="Calibri"/>
          <w:sz w:val="22"/>
          <w:szCs w:val="22"/>
          <w:u w:val="single"/>
        </w:rPr>
        <w:t>Responsabilités du CTA</w:t>
      </w:r>
    </w:p>
    <w:p>
      <w:pPr>
        <w:widowControl w:val="0"/>
        <w:shd w:val="clear" w:color="auto" w:fill="FFFFFF"/>
        <w:autoSpaceDE w:val="0"/>
        <w:autoSpaceDN w:val="0"/>
        <w:adjustRightInd w:val="0"/>
        <w:spacing w:after="240"/>
        <w:ind w:right="17"/>
        <w:jc w:val="both"/>
        <w:rPr>
          <w:rFonts w:ascii="Calibri" w:hAnsi="Calibri" w:cs="Calibri"/>
          <w:sz w:val="22"/>
          <w:szCs w:val="22"/>
        </w:rPr>
      </w:pPr>
      <w:r>
        <w:rPr>
          <w:rFonts w:ascii="Calibri" w:hAnsi="Calibri" w:cs="Calibri"/>
          <w:sz w:val="22"/>
          <w:szCs w:val="22"/>
        </w:rPr>
        <w:t>Le CTA ne pourra être tenu responsable que pour les dommages causés par la défectuosité des bâtiments et/ou équipements mis à disposition de l’opérateur- utilisateur.</w:t>
      </w:r>
    </w:p>
    <w:p>
      <w:pPr>
        <w:rPr>
          <w:rFonts w:ascii="Calibri" w:hAnsi="Calibri" w:cs="Calibri"/>
          <w:b/>
          <w:bCs/>
          <w:sz w:val="22"/>
          <w:szCs w:val="22"/>
        </w:rPr>
      </w:pPr>
      <w:r>
        <w:rPr>
          <w:rFonts w:ascii="Calibri" w:hAnsi="Calibri" w:cs="Calibri"/>
          <w:b/>
          <w:bCs/>
          <w:sz w:val="22"/>
          <w:szCs w:val="22"/>
        </w:rPr>
        <w:br w:type="page"/>
      </w:r>
    </w:p>
    <w:p>
      <w:pPr>
        <w:spacing w:after="120"/>
        <w:jc w:val="both"/>
        <w:outlineLvl w:val="0"/>
        <w:rPr>
          <w:rFonts w:ascii="Calibri" w:hAnsi="Calibri" w:cs="Calibri"/>
          <w:b/>
          <w:bCs/>
          <w:sz w:val="22"/>
          <w:szCs w:val="22"/>
        </w:rPr>
      </w:pPr>
      <w:r>
        <w:rPr>
          <w:rFonts w:ascii="Calibri" w:hAnsi="Calibri" w:cs="Calibri"/>
          <w:b/>
          <w:bCs/>
          <w:sz w:val="22"/>
          <w:szCs w:val="22"/>
        </w:rPr>
        <w:lastRenderedPageBreak/>
        <w:t>Article 7 : La prise en charge des frais</w:t>
      </w:r>
    </w:p>
    <w:p>
      <w:pPr>
        <w:pStyle w:val="xmsonormal"/>
        <w:shd w:val="clear" w:color="auto" w:fill="FFFFFF"/>
        <w:spacing w:before="0" w:beforeAutospacing="0" w:after="120" w:afterAutospacing="0"/>
        <w:jc w:val="both"/>
        <w:rPr>
          <w:rFonts w:asciiTheme="minorHAnsi" w:hAnsiTheme="minorHAnsi" w:cstheme="minorHAnsi"/>
          <w:sz w:val="22"/>
          <w:szCs w:val="22"/>
          <w:lang w:val="fr-BE"/>
        </w:rPr>
      </w:pPr>
      <w:r>
        <w:rPr>
          <w:rFonts w:asciiTheme="minorHAnsi" w:hAnsiTheme="minorHAnsi" w:cstheme="minorHAnsi"/>
          <w:sz w:val="22"/>
          <w:szCs w:val="22"/>
          <w:lang w:val="fr-BE"/>
        </w:rPr>
        <w:t xml:space="preserve">Les frais de consommables seront facturés trimestriellement par la Communauté française à l’opérateur-utilisateur </w:t>
      </w:r>
      <w:r>
        <w:rPr>
          <w:rFonts w:asciiTheme="minorHAnsi" w:hAnsiTheme="minorHAnsi" w:cstheme="minorHAnsi"/>
          <w:color w:val="000000"/>
          <w:sz w:val="22"/>
          <w:szCs w:val="22"/>
        </w:rPr>
        <w:t xml:space="preserve">sur base d'un montant forfaitaire de 10 € / 15 € / 20 € / 25 € </w:t>
      </w:r>
      <w:r>
        <w:rPr>
          <w:rStyle w:val="Appelnotedebasdep"/>
          <w:rFonts w:asciiTheme="minorHAnsi" w:hAnsiTheme="minorHAnsi" w:cstheme="minorHAnsi"/>
          <w:color w:val="000000"/>
          <w:sz w:val="22"/>
          <w:szCs w:val="22"/>
        </w:rPr>
        <w:footnoteReference w:id="16"/>
      </w:r>
      <w:r>
        <w:rPr>
          <w:rFonts w:asciiTheme="minorHAnsi" w:hAnsiTheme="minorHAnsi" w:cstheme="minorHAnsi"/>
          <w:color w:val="000000"/>
          <w:sz w:val="22"/>
          <w:szCs w:val="22"/>
        </w:rPr>
        <w:t xml:space="preserve"> par journée de formation/stagiaire</w:t>
      </w:r>
      <w:r>
        <w:rPr>
          <w:rStyle w:val="Appelnotedebasdep"/>
          <w:rFonts w:asciiTheme="minorHAnsi" w:hAnsiTheme="minorHAnsi" w:cstheme="minorHAnsi"/>
          <w:color w:val="000000"/>
          <w:sz w:val="22"/>
          <w:szCs w:val="22"/>
        </w:rPr>
        <w:footnoteReference w:id="17"/>
      </w:r>
      <w:r>
        <w:rPr>
          <w:rFonts w:asciiTheme="minorHAnsi" w:hAnsiTheme="minorHAnsi" w:cstheme="minorHAnsi"/>
          <w:sz w:val="22"/>
          <w:szCs w:val="22"/>
          <w:lang w:val="fr-BE"/>
        </w:rPr>
        <w:t>.</w:t>
      </w:r>
    </w:p>
    <w:p>
      <w:pPr>
        <w:pStyle w:val="xmsonormal"/>
        <w:shd w:val="clear" w:color="auto" w:fill="FFFFFF"/>
        <w:spacing w:before="0" w:beforeAutospacing="0" w:after="120" w:afterAutospacing="0"/>
        <w:jc w:val="both"/>
        <w:rPr>
          <w:rFonts w:ascii="Calibri" w:hAnsi="Calibri" w:cs="Calibri"/>
          <w:sz w:val="22"/>
          <w:szCs w:val="22"/>
          <w:u w:val="single"/>
          <w:lang w:val="fr-BE"/>
        </w:rPr>
      </w:pPr>
      <w:r>
        <w:rPr>
          <w:rFonts w:ascii="Calibri" w:hAnsi="Calibri" w:cs="Calibri"/>
          <w:sz w:val="22"/>
          <w:szCs w:val="22"/>
          <w:lang w:val="fr-BE"/>
        </w:rPr>
        <w:t>L’organisation, les frais de déplacement et les frais d’hébergement seront pris en charge par l’opérateur-utilisateur.</w:t>
      </w:r>
    </w:p>
    <w:p>
      <w:pPr>
        <w:shd w:val="clear" w:color="auto" w:fill="FFFFFF"/>
        <w:spacing w:after="120"/>
        <w:jc w:val="both"/>
        <w:rPr>
          <w:rFonts w:ascii="Calibri" w:hAnsi="Calibri" w:cs="Calibri"/>
          <w:b/>
          <w:sz w:val="22"/>
          <w:szCs w:val="22"/>
        </w:rPr>
      </w:pPr>
      <w:r>
        <w:rPr>
          <w:rFonts w:ascii="Calibri" w:hAnsi="Calibri" w:cs="Calibri"/>
          <w:b/>
          <w:sz w:val="22"/>
          <w:szCs w:val="22"/>
        </w:rPr>
        <w:t>Article 8 : Gestion des données personnelles</w:t>
      </w:r>
    </w:p>
    <w:p>
      <w:pPr>
        <w:widowControl w:val="0"/>
        <w:shd w:val="clear" w:color="auto" w:fill="FFFFFF"/>
        <w:tabs>
          <w:tab w:val="left" w:pos="426"/>
        </w:tabs>
        <w:autoSpaceDE w:val="0"/>
        <w:autoSpaceDN w:val="0"/>
        <w:adjustRightInd w:val="0"/>
        <w:spacing w:after="120"/>
        <w:ind w:right="36"/>
        <w:jc w:val="both"/>
        <w:rPr>
          <w:rFonts w:ascii="Calibri" w:hAnsi="Calibri" w:cs="Calibri"/>
          <w:sz w:val="22"/>
          <w:szCs w:val="22"/>
        </w:rPr>
      </w:pPr>
      <w:r>
        <w:rPr>
          <w:rFonts w:ascii="Calibri" w:hAnsi="Calibri" w:cs="Calibri"/>
          <w:sz w:val="22"/>
          <w:szCs w:val="22"/>
        </w:rPr>
        <w:t>Comme mentionné à l’article 4, § 2, 5°, l’opérateur-utilisateur s’engage à fournir au coordonnateur du CTA, au plus tard le premier jour de la formation, une liste complète des stagiaires et des enseignants-formateurs inscrits aux formations. La liste comprendra les noms, prénoms, sexes et dates de naissance de chacun des stagiaires et de chacun des enseignants-formateurs.</w:t>
      </w:r>
    </w:p>
    <w:p>
      <w:pPr>
        <w:widowControl w:val="0"/>
        <w:shd w:val="clear" w:color="auto" w:fill="FFFFFF"/>
        <w:tabs>
          <w:tab w:val="left" w:pos="426"/>
        </w:tabs>
        <w:autoSpaceDE w:val="0"/>
        <w:autoSpaceDN w:val="0"/>
        <w:adjustRightInd w:val="0"/>
        <w:spacing w:after="120"/>
        <w:ind w:right="36"/>
        <w:jc w:val="both"/>
        <w:rPr>
          <w:rFonts w:ascii="Calibri" w:hAnsi="Calibri" w:cs="Calibri"/>
          <w:sz w:val="22"/>
          <w:szCs w:val="22"/>
        </w:rPr>
      </w:pPr>
      <w:r>
        <w:rPr>
          <w:rFonts w:ascii="Calibri" w:hAnsi="Calibri" w:cs="Calibri"/>
          <w:sz w:val="22"/>
          <w:szCs w:val="22"/>
        </w:rPr>
        <w:t>Ces informations sont transmises à l’administration de la Fédération Wallonie-Bruxelles afin de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Calculer la fréquentation annuelle du CTA</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Verser la subvention annuelle octroyée par le Gouvernement de la Fédération Wallonie-Bruxelles</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Vérifier si l’opérateur-utilisateur a droit ou non au remboursement d’éventuels frais de déplacement et/ou d’hébergement</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Transmettre aux Gouvernements des entités fédérées ayant conclu les accords de coopération, ainsi qu’au Fonds européen de développement régional les analyses statistiques prévues réglementairement</w:t>
      </w:r>
    </w:p>
    <w:p>
      <w:pPr>
        <w:spacing w:after="120"/>
        <w:jc w:val="both"/>
        <w:rPr>
          <w:rFonts w:ascii="Calibri" w:hAnsi="Calibri" w:cs="Calibri"/>
          <w:sz w:val="22"/>
          <w:szCs w:val="22"/>
        </w:rPr>
      </w:pPr>
      <w:r>
        <w:rPr>
          <w:rFonts w:ascii="Calibri" w:hAnsi="Calibri" w:cs="Calibri"/>
          <w:sz w:val="22"/>
          <w:szCs w:val="22"/>
        </w:rPr>
        <w:t>Toutes les informations personnelles sont anonymisées avant traitement.</w:t>
      </w:r>
    </w:p>
    <w:p>
      <w:pPr>
        <w:spacing w:after="120"/>
        <w:jc w:val="both"/>
        <w:rPr>
          <w:rFonts w:ascii="Calibri" w:hAnsi="Calibri" w:cs="Calibri"/>
          <w:sz w:val="22"/>
          <w:szCs w:val="22"/>
        </w:rPr>
      </w:pPr>
      <w:r>
        <w:rPr>
          <w:rFonts w:ascii="Calibri" w:hAnsi="Calibri" w:cs="Calibri"/>
          <w:sz w:val="22"/>
          <w:szCs w:val="22"/>
        </w:rPr>
        <w:t>Les données personnelles sont conservées 10 ans au sein de l’administration. Une copie est également conservée au sein du CTA durant la même période.</w:t>
      </w:r>
    </w:p>
    <w:p>
      <w:pPr>
        <w:spacing w:after="120"/>
        <w:jc w:val="both"/>
        <w:rPr>
          <w:rFonts w:ascii="Calibri" w:hAnsi="Calibri" w:cs="Calibri"/>
          <w:sz w:val="22"/>
          <w:szCs w:val="22"/>
        </w:rPr>
      </w:pPr>
      <w:r>
        <w:rPr>
          <w:rFonts w:ascii="Calibri" w:hAnsi="Calibri" w:cs="Calibri"/>
          <w:sz w:val="22"/>
          <w:szCs w:val="22"/>
        </w:rPr>
        <w:t>Aucune donnée n’est utilisée à des fins publicitaires ou commerciales.</w:t>
      </w:r>
    </w:p>
    <w:p>
      <w:pPr>
        <w:spacing w:after="120"/>
        <w:jc w:val="both"/>
        <w:rPr>
          <w:rFonts w:ascii="Calibri" w:hAnsi="Calibri" w:cs="Calibri"/>
          <w:sz w:val="22"/>
          <w:szCs w:val="22"/>
        </w:rPr>
      </w:pPr>
      <w:r>
        <w:rPr>
          <w:rFonts w:ascii="Calibri" w:hAnsi="Calibri" w:cs="Calibri"/>
          <w:sz w:val="22"/>
          <w:szCs w:val="22"/>
        </w:rPr>
        <w:t>Pour toute information complémentaire, il convient de contacter le délégué à la protection des données désigné par le Pouvoir organisateur dont dépend le CTA.</w:t>
      </w:r>
    </w:p>
    <w:p>
      <w:pPr>
        <w:shd w:val="clear" w:color="auto" w:fill="FFFFFF"/>
        <w:spacing w:after="120"/>
        <w:jc w:val="both"/>
        <w:rPr>
          <w:rFonts w:ascii="Calibri" w:hAnsi="Calibri" w:cs="Calibri"/>
          <w:b/>
          <w:sz w:val="22"/>
          <w:szCs w:val="22"/>
        </w:rPr>
      </w:pPr>
      <w:r>
        <w:rPr>
          <w:rFonts w:ascii="Calibri" w:hAnsi="Calibri" w:cs="Calibri"/>
          <w:b/>
          <w:sz w:val="22"/>
          <w:szCs w:val="22"/>
        </w:rPr>
        <w:t>Article 9 : Sanction</w:t>
      </w:r>
    </w:p>
    <w:p>
      <w:pPr>
        <w:shd w:val="clear" w:color="auto" w:fill="FFFFFF"/>
        <w:spacing w:after="240"/>
        <w:ind w:right="34"/>
        <w:jc w:val="both"/>
        <w:rPr>
          <w:rFonts w:ascii="Calibri" w:hAnsi="Calibri" w:cs="Calibri"/>
          <w:sz w:val="22"/>
          <w:szCs w:val="22"/>
        </w:rPr>
      </w:pPr>
      <w:r>
        <w:rPr>
          <w:rFonts w:ascii="Calibri" w:hAnsi="Calibri" w:cs="Calibri"/>
          <w:sz w:val="22"/>
          <w:szCs w:val="22"/>
        </w:rPr>
        <w:t>En cas d’annulation de la formation réservée moins d’une semaine avant le début de celle-ci, un montant équivalent à 50 % du coût total de la formation réservée sera facturée à l’opérateur-utilisateur.</w:t>
      </w:r>
    </w:p>
    <w:p>
      <w:pPr>
        <w:rPr>
          <w:rFonts w:ascii="Calibri" w:hAnsi="Calibri" w:cs="Calibri"/>
          <w:b/>
          <w:bCs/>
          <w:sz w:val="22"/>
          <w:szCs w:val="22"/>
        </w:rPr>
      </w:pPr>
      <w:r>
        <w:rPr>
          <w:rFonts w:ascii="Calibri" w:hAnsi="Calibri" w:cs="Calibri"/>
          <w:b/>
          <w:bCs/>
          <w:sz w:val="22"/>
          <w:szCs w:val="22"/>
        </w:rPr>
        <w:br w:type="page"/>
      </w:r>
    </w:p>
    <w:p>
      <w:pPr>
        <w:shd w:val="clear" w:color="auto" w:fill="FFFFFF"/>
        <w:spacing w:after="120"/>
        <w:outlineLvl w:val="0"/>
        <w:rPr>
          <w:rFonts w:ascii="Calibri" w:hAnsi="Calibri" w:cs="Calibri"/>
          <w:b/>
          <w:bCs/>
          <w:sz w:val="22"/>
          <w:szCs w:val="22"/>
        </w:rPr>
      </w:pPr>
      <w:r>
        <w:rPr>
          <w:rFonts w:ascii="Calibri" w:hAnsi="Calibri" w:cs="Calibri"/>
          <w:b/>
          <w:bCs/>
          <w:sz w:val="22"/>
          <w:szCs w:val="22"/>
        </w:rPr>
        <w:lastRenderedPageBreak/>
        <w:t>Article 10 : Durée de la convention</w:t>
      </w:r>
    </w:p>
    <w:p>
      <w:pPr>
        <w:shd w:val="clear" w:color="auto" w:fill="FFFFFF"/>
        <w:spacing w:after="120"/>
        <w:jc w:val="both"/>
        <w:rPr>
          <w:rFonts w:ascii="Calibri" w:hAnsi="Calibri" w:cs="Calibri"/>
          <w:sz w:val="22"/>
          <w:szCs w:val="22"/>
        </w:rPr>
      </w:pPr>
      <w:r>
        <w:rPr>
          <w:rFonts w:ascii="Calibri" w:hAnsi="Calibri" w:cs="Calibri"/>
          <w:sz w:val="22"/>
          <w:szCs w:val="22"/>
        </w:rPr>
        <w:t>La présente convention est conclue par année scolaire et sera reconduite tacitement l’année scolaire suivante.</w:t>
      </w:r>
    </w:p>
    <w:p>
      <w:pPr>
        <w:shd w:val="clear" w:color="auto" w:fill="FFFFFF"/>
        <w:spacing w:after="120"/>
        <w:jc w:val="both"/>
        <w:rPr>
          <w:rFonts w:ascii="Calibri" w:hAnsi="Calibri" w:cs="Calibri"/>
          <w:sz w:val="22"/>
          <w:szCs w:val="22"/>
        </w:rPr>
      </w:pPr>
      <w:r>
        <w:rPr>
          <w:rFonts w:ascii="Calibri" w:hAnsi="Calibri" w:cs="Calibri"/>
          <w:sz w:val="22"/>
          <w:szCs w:val="22"/>
        </w:rPr>
        <w:t>Elle pourra être dénoncée à la demande d’une des parties, moyennant un préavis de trois mois via l’envoi d’un recommandé.</w:t>
      </w:r>
    </w:p>
    <w:p>
      <w:pPr>
        <w:shd w:val="clear" w:color="auto" w:fill="FFFFFF"/>
        <w:tabs>
          <w:tab w:val="left" w:leader="dot" w:pos="2023"/>
        </w:tabs>
        <w:spacing w:after="120"/>
        <w:jc w:val="both"/>
        <w:rPr>
          <w:rFonts w:ascii="Calibri" w:hAnsi="Calibri" w:cs="Calibri"/>
          <w:sz w:val="22"/>
          <w:szCs w:val="22"/>
        </w:rPr>
      </w:pPr>
    </w:p>
    <w:p>
      <w:pPr>
        <w:shd w:val="clear" w:color="auto" w:fill="FFFFFF"/>
        <w:tabs>
          <w:tab w:val="left" w:leader="dot" w:pos="2023"/>
        </w:tabs>
        <w:spacing w:after="120"/>
        <w:jc w:val="both"/>
        <w:rPr>
          <w:rFonts w:ascii="Calibri" w:hAnsi="Calibri" w:cs="Calibri"/>
          <w:sz w:val="22"/>
          <w:szCs w:val="22"/>
        </w:rPr>
      </w:pPr>
    </w:p>
    <w:p>
      <w:pPr>
        <w:shd w:val="clear" w:color="auto" w:fill="FFFFFF"/>
        <w:tabs>
          <w:tab w:val="left" w:leader="dot" w:pos="2023"/>
        </w:tabs>
        <w:spacing w:after="120"/>
        <w:jc w:val="both"/>
        <w:rPr>
          <w:rFonts w:ascii="Calibri" w:hAnsi="Calibri" w:cs="Calibri"/>
          <w:sz w:val="22"/>
          <w:szCs w:val="22"/>
        </w:rPr>
      </w:pPr>
      <w:r>
        <w:rPr>
          <w:rFonts w:ascii="Calibri" w:hAnsi="Calibri" w:cs="Calibri"/>
          <w:sz w:val="22"/>
          <w:szCs w:val="22"/>
        </w:rPr>
        <w:t>Fait le ..…/..…/20..… en 2 exemplaires signés respectivement par chacune des parties.</w:t>
      </w:r>
    </w:p>
    <w:p>
      <w:pPr>
        <w:tabs>
          <w:tab w:val="left" w:pos="0"/>
          <w:tab w:val="right" w:pos="9000"/>
        </w:tabs>
        <w:suppressAutoHyphens/>
        <w:spacing w:after="120"/>
        <w:rPr>
          <w:rFonts w:ascii="Calibri" w:hAnsi="Calibri" w:cs="Calibri"/>
          <w:sz w:val="22"/>
          <w:szCs w:val="22"/>
        </w:rPr>
      </w:pPr>
    </w:p>
    <w:p>
      <w:pPr>
        <w:tabs>
          <w:tab w:val="left" w:pos="0"/>
          <w:tab w:val="right" w:pos="9000"/>
        </w:tabs>
        <w:suppressAutoHyphens/>
        <w:spacing w:after="120"/>
        <w:rPr>
          <w:rFonts w:ascii="Calibri" w:hAnsi="Calibri" w:cs="Calibri"/>
          <w:sz w:val="22"/>
          <w:szCs w:val="22"/>
        </w:rPr>
      </w:pPr>
    </w:p>
    <w:p>
      <w:pPr>
        <w:tabs>
          <w:tab w:val="left" w:pos="0"/>
          <w:tab w:val="right" w:pos="9000"/>
        </w:tabs>
        <w:suppressAutoHyphens/>
        <w:spacing w:after="120"/>
        <w:rPr>
          <w:rFonts w:ascii="Calibri" w:hAnsi="Calibri" w:cs="Calibri"/>
          <w:sz w:val="22"/>
          <w:szCs w:val="22"/>
        </w:rPr>
      </w:pPr>
    </w:p>
    <w:p>
      <w:pPr>
        <w:tabs>
          <w:tab w:val="left" w:pos="0"/>
          <w:tab w:val="right" w:pos="9000"/>
        </w:tabs>
        <w:suppressAutoHyphens/>
        <w:spacing w:after="120"/>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19"/>
        <w:gridCol w:w="4709"/>
      </w:tblGrid>
      <w:tr>
        <w:trPr>
          <w:trHeight w:val="2672"/>
        </w:trPr>
        <w:tc>
          <w:tcPr>
            <w:tcW w:w="4219" w:type="dxa"/>
          </w:tcPr>
          <w:p>
            <w:pPr>
              <w:tabs>
                <w:tab w:val="left" w:pos="0"/>
                <w:tab w:val="right" w:pos="9000"/>
              </w:tabs>
              <w:suppressAutoHyphens/>
              <w:spacing w:after="120"/>
              <w:jc w:val="center"/>
              <w:rPr>
                <w:rFonts w:ascii="Calibri" w:hAnsi="Calibri" w:cs="Calibri"/>
                <w:sz w:val="22"/>
                <w:szCs w:val="22"/>
              </w:rPr>
            </w:pPr>
          </w:p>
          <w:p>
            <w:pPr>
              <w:tabs>
                <w:tab w:val="left" w:pos="0"/>
                <w:tab w:val="right" w:pos="9000"/>
              </w:tabs>
              <w:suppressAutoHyphens/>
              <w:spacing w:after="120"/>
              <w:jc w:val="center"/>
              <w:rPr>
                <w:rFonts w:ascii="Calibri" w:hAnsi="Calibri" w:cs="Calibri"/>
                <w:sz w:val="22"/>
                <w:szCs w:val="22"/>
              </w:rPr>
            </w:pPr>
            <w:r>
              <w:rPr>
                <w:rFonts w:ascii="Calibri" w:hAnsi="Calibri" w:cs="Calibri"/>
                <w:sz w:val="22"/>
                <w:szCs w:val="22"/>
              </w:rPr>
              <w:t>Pour le CTA,</w:t>
            </w:r>
          </w:p>
          <w:p>
            <w:pPr>
              <w:tabs>
                <w:tab w:val="left" w:pos="0"/>
                <w:tab w:val="right" w:pos="9000"/>
              </w:tabs>
              <w:suppressAutoHyphens/>
              <w:spacing w:after="120"/>
              <w:jc w:val="center"/>
              <w:rPr>
                <w:rFonts w:ascii="Calibri" w:hAnsi="Calibri" w:cs="Calibri"/>
                <w:sz w:val="22"/>
                <w:szCs w:val="22"/>
              </w:rPr>
            </w:pPr>
          </w:p>
          <w:p>
            <w:pPr>
              <w:tabs>
                <w:tab w:val="left" w:pos="0"/>
                <w:tab w:val="right" w:pos="9000"/>
              </w:tabs>
              <w:suppressAutoHyphens/>
              <w:spacing w:after="120"/>
              <w:jc w:val="center"/>
              <w:rPr>
                <w:rFonts w:ascii="Calibri" w:hAnsi="Calibri" w:cs="Calibri"/>
                <w:sz w:val="22"/>
                <w:szCs w:val="22"/>
              </w:rPr>
            </w:pPr>
            <w:r>
              <w:rPr>
                <w:rFonts w:ascii="Calibri" w:hAnsi="Calibri" w:cs="Calibri"/>
                <w:sz w:val="22"/>
                <w:szCs w:val="22"/>
              </w:rPr>
              <w:t>Nom et qualité du signataire :</w:t>
            </w:r>
          </w:p>
          <w:p>
            <w:pPr>
              <w:tabs>
                <w:tab w:val="left" w:pos="0"/>
                <w:tab w:val="right" w:pos="9000"/>
              </w:tabs>
              <w:suppressAutoHyphens/>
              <w:spacing w:after="120"/>
              <w:rPr>
                <w:rFonts w:ascii="Calibri" w:hAnsi="Calibri" w:cs="Calibri"/>
                <w:sz w:val="22"/>
                <w:szCs w:val="22"/>
              </w:rPr>
            </w:pPr>
          </w:p>
        </w:tc>
        <w:tc>
          <w:tcPr>
            <w:tcW w:w="4709" w:type="dxa"/>
          </w:tcPr>
          <w:p>
            <w:pPr>
              <w:shd w:val="clear" w:color="auto" w:fill="FFFFFF"/>
              <w:spacing w:after="120"/>
              <w:jc w:val="center"/>
              <w:rPr>
                <w:rFonts w:ascii="Calibri" w:hAnsi="Calibri" w:cs="Calibri"/>
                <w:sz w:val="22"/>
                <w:szCs w:val="22"/>
              </w:rPr>
            </w:pPr>
          </w:p>
          <w:p>
            <w:pPr>
              <w:shd w:val="clear" w:color="auto" w:fill="FFFFFF"/>
              <w:spacing w:after="120"/>
              <w:jc w:val="center"/>
              <w:rPr>
                <w:rFonts w:ascii="Calibri" w:hAnsi="Calibri" w:cs="Calibri"/>
                <w:sz w:val="22"/>
                <w:szCs w:val="22"/>
              </w:rPr>
            </w:pPr>
            <w:r>
              <w:rPr>
                <w:rFonts w:ascii="Calibri" w:hAnsi="Calibri" w:cs="Calibri"/>
                <w:sz w:val="22"/>
                <w:szCs w:val="22"/>
              </w:rPr>
              <w:t>Pour l’opérateur-utilisateur,</w:t>
            </w:r>
          </w:p>
          <w:p>
            <w:pPr>
              <w:shd w:val="clear" w:color="auto" w:fill="FFFFFF"/>
              <w:spacing w:after="120"/>
              <w:jc w:val="center"/>
              <w:rPr>
                <w:rFonts w:ascii="Calibri" w:hAnsi="Calibri" w:cs="Calibri"/>
                <w:sz w:val="22"/>
                <w:szCs w:val="22"/>
              </w:rPr>
            </w:pPr>
          </w:p>
          <w:p>
            <w:pPr>
              <w:shd w:val="clear" w:color="auto" w:fill="FFFFFF"/>
              <w:spacing w:after="120"/>
              <w:jc w:val="center"/>
              <w:rPr>
                <w:rFonts w:ascii="Calibri" w:hAnsi="Calibri" w:cs="Calibri"/>
                <w:sz w:val="22"/>
                <w:szCs w:val="22"/>
              </w:rPr>
            </w:pPr>
            <w:r>
              <w:rPr>
                <w:rFonts w:ascii="Calibri" w:hAnsi="Calibri" w:cs="Calibri"/>
                <w:sz w:val="22"/>
                <w:szCs w:val="22"/>
              </w:rPr>
              <w:t>Nom et qualité du signataire :</w:t>
            </w:r>
          </w:p>
          <w:p>
            <w:pPr>
              <w:tabs>
                <w:tab w:val="left" w:pos="0"/>
                <w:tab w:val="right" w:pos="9000"/>
              </w:tabs>
              <w:suppressAutoHyphens/>
              <w:spacing w:after="120"/>
              <w:rPr>
                <w:rFonts w:ascii="Calibri" w:hAnsi="Calibri" w:cs="Calibri"/>
                <w:sz w:val="22"/>
                <w:szCs w:val="22"/>
              </w:rPr>
            </w:pPr>
          </w:p>
        </w:tc>
      </w:tr>
    </w:tbl>
    <w:p>
      <w:pPr>
        <w:shd w:val="clear" w:color="auto" w:fill="FFFFFF"/>
        <w:spacing w:after="120"/>
        <w:rPr>
          <w:rFonts w:ascii="Calibri" w:hAnsi="Calibri" w:cs="Calibri"/>
          <w:b/>
          <w:sz w:val="22"/>
          <w:szCs w:val="22"/>
        </w:rPr>
      </w:pPr>
    </w:p>
    <w:p>
      <w:pPr>
        <w:pBdr>
          <w:top w:val="single" w:sz="4" w:space="1" w:color="auto"/>
          <w:left w:val="single" w:sz="4" w:space="4" w:color="auto"/>
          <w:bottom w:val="single" w:sz="4" w:space="1" w:color="auto"/>
          <w:right w:val="single" w:sz="4" w:space="4" w:color="auto"/>
        </w:pBdr>
        <w:shd w:val="clear" w:color="auto" w:fill="FFFFFF"/>
        <w:spacing w:after="120"/>
        <w:jc w:val="center"/>
        <w:rPr>
          <w:rFonts w:ascii="Calibri" w:hAnsi="Calibri" w:cs="Calibri"/>
          <w:b/>
          <w:smallCaps/>
          <w:sz w:val="22"/>
          <w:szCs w:val="22"/>
        </w:rPr>
      </w:pPr>
      <w:r>
        <w:rPr>
          <w:rFonts w:ascii="Calibri" w:hAnsi="Calibri" w:cs="Calibri"/>
          <w:b/>
          <w:sz w:val="22"/>
          <w:szCs w:val="22"/>
        </w:rPr>
        <w:br w:type="page"/>
      </w:r>
      <w:r>
        <w:rPr>
          <w:rFonts w:ascii="Calibri" w:hAnsi="Calibri" w:cs="Calibri"/>
          <w:caps/>
          <w:noProof/>
          <w:sz w:val="22"/>
          <w:szCs w:val="22"/>
          <w:lang w:eastAsia="fr-BE"/>
        </w:rPr>
        <w:lastRenderedPageBreak/>
        <mc:AlternateContent>
          <mc:Choice Requires="wps">
            <w:drawing>
              <wp:anchor distT="0" distB="0" distL="114299" distR="114299" simplePos="0" relativeHeight="251635712" behindDoc="0" locked="0" layoutInCell="1" allowOverlap="1">
                <wp:simplePos x="0" y="0"/>
                <wp:positionH relativeFrom="margin">
                  <wp:posOffset>-1600201</wp:posOffset>
                </wp:positionH>
                <wp:positionV relativeFrom="paragraph">
                  <wp:posOffset>176530</wp:posOffset>
                </wp:positionV>
                <wp:extent cx="0" cy="626110"/>
                <wp:effectExtent l="0" t="0" r="19050" b="21590"/>
                <wp:wrapNone/>
                <wp:docPr id="10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611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35712;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126pt,13.9pt" to="-126pt,6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TOmEwIAACoEAAAOAAAAZHJzL2Uyb0RvYy54bWysU8GO2jAQvVfqP1i+QxI2pRARVlUCvdAu&#10;0m4/wNgOserYlm0IqOq/d+wAYttLtdocnLE98+bNvPHi8dRJdOTWCa1KnI1TjLiimgm1L/GPl/Vo&#10;hpHzRDEiteIlPnOHH5cfPyx6U/CJbrVk3CIAUa7oTYlb702RJI62vCNurA1XcNlo2xEPW7tPmCU9&#10;oHcymaTpNOm1ZcZqyp2D03q4xMuI3zSc+qemcdwjWWLg5uNq47oLa7JckGJviWkFvdAgb2DREaEg&#10;6Q2qJp6ggxX/QHWCWu1048dUd4luGkF5rAGqydK/qnluieGxFmiOM7c2ufeDpd+PW4sEA+3SOUaK&#10;dCDSRiiO8tCb3rgCXCq1taE6elLPZqPpT4eUrlqi9jxyfDkbCMtCRPIqJGycgQy7/ptm4EMOXsdG&#10;nRrbBUhoATpFPc43PfjJIzocUjidTqZZFqVKSHGNM9b5r1x3KBgllkA54pLjxvnAgxRXl5BG6bWQ&#10;MqotFeqBbJY/pDHCaSlYuA1+zu53lbToSMLAxC9WBTf3blYfFItoLSdsdbE9EXKwIbtUAQ9KAT4X&#10;a5iIX/N0vpqtZvkon0xXozyt69GXdZWPpuvs86f6oa6qOvsdqGV50QrGuArsrtOZ5f+n/uWdDHN1&#10;m89bH5LX6LFhQPb6j6SjlkG+YRB2mp239qoxDGR0vjyeMPH3e7Dvn/jyDwAAAP//AwBQSwMEFAAG&#10;AAgAAAAhAIFCC8beAAAADAEAAA8AAABkcnMvZG93bnJldi54bWxMj8FOwzAMhu9IvENkJG5bSrQV&#10;KE0nhMSNyzYklFvWmLa0caom27q3x0hIcLT96ff3l5vZD+KEU+wCabhbZiCQ6uA6ajS8718XDyBi&#10;suTsEAg1XDDCprq+Km3hwpm2eNqlRnAIxcJqaFMaCylj3aK3cRlGJL59hsnbxOPUSDfZM4f7Qaos&#10;y6W3HfGH1o740mLd745eQ3bpTexzYx6/3DbsP8z6rVsZrW9v5ucnEAnn9AfDjz6rQ8VOh3AkF8Wg&#10;YaHWisskDeqeOzDxuzkwq/IVyKqU/0tU3wAAAP//AwBQSwECLQAUAAYACAAAACEAtoM4kv4AAADh&#10;AQAAEwAAAAAAAAAAAAAAAAAAAAAAW0NvbnRlbnRfVHlwZXNdLnhtbFBLAQItABQABgAIAAAAIQA4&#10;/SH/1gAAAJQBAAALAAAAAAAAAAAAAAAAAC8BAABfcmVscy8ucmVsc1BLAQItABQABgAIAAAAIQDp&#10;9TOmEwIAACoEAAAOAAAAAAAAAAAAAAAAAC4CAABkcnMvZTJvRG9jLnhtbFBLAQItABQABgAIAAAA&#10;IQCBQgvG3gAAAAwBAAAPAAAAAAAAAAAAAAAAAG0EAABkcnMvZG93bnJldi54bWxQSwUGAAAAAAQA&#10;BADzAAAAeAUAAAAA&#10;" strokeweight=".9pt">
                <w10:wrap anchorx="margin"/>
              </v:line>
            </w:pict>
          </mc:Fallback>
        </mc:AlternateContent>
      </w:r>
      <w:r>
        <w:rPr>
          <w:rFonts w:ascii="Calibri" w:hAnsi="Calibri" w:cs="Calibri"/>
          <w:b/>
          <w:bCs/>
          <w:caps/>
          <w:sz w:val="22"/>
          <w:szCs w:val="22"/>
        </w:rPr>
        <w:t xml:space="preserve">Convention spécifique DE COLLABORATION entre les Centres de Technologies Avancées et les opérateurs-utilisateurs </w:t>
      </w:r>
      <w:r>
        <w:rPr>
          <w:rFonts w:ascii="Calibri" w:hAnsi="Calibri" w:cs="Calibri"/>
          <w:b/>
          <w:bCs/>
          <w:smallCaps/>
          <w:sz w:val="22"/>
          <w:szCs w:val="22"/>
        </w:rPr>
        <w:t xml:space="preserve">ISSUS DES </w:t>
      </w:r>
      <w:r>
        <w:rPr>
          <w:rFonts w:ascii="Calibri" w:hAnsi="Calibri" w:cs="Calibri"/>
          <w:b/>
          <w:smallCaps/>
          <w:sz w:val="22"/>
          <w:szCs w:val="22"/>
        </w:rPr>
        <w:t>ETABLISSEMENTS D’ENSEIGNEMENT DE PROMOTION SOCIALE</w:t>
      </w:r>
    </w:p>
    <w:p>
      <w:pPr>
        <w:shd w:val="clear" w:color="auto" w:fill="FFFFFF"/>
        <w:tabs>
          <w:tab w:val="left" w:leader="underscore" w:pos="2347"/>
          <w:tab w:val="left" w:leader="underscore" w:pos="8467"/>
        </w:tabs>
        <w:spacing w:after="120"/>
        <w:jc w:val="both"/>
        <w:rPr>
          <w:rFonts w:ascii="Calibri" w:hAnsi="Calibri" w:cs="Calibri"/>
          <w:b/>
          <w:sz w:val="22"/>
          <w:szCs w:val="22"/>
        </w:rPr>
      </w:pPr>
    </w:p>
    <w:p>
      <w:pPr>
        <w:shd w:val="clear" w:color="auto" w:fill="FFFFFF"/>
        <w:tabs>
          <w:tab w:val="left" w:leader="underscore" w:pos="2347"/>
          <w:tab w:val="left" w:leader="underscore" w:pos="8467"/>
        </w:tabs>
        <w:spacing w:after="120"/>
        <w:jc w:val="both"/>
        <w:rPr>
          <w:rFonts w:ascii="Calibri" w:hAnsi="Calibri" w:cs="Calibri"/>
          <w:b/>
          <w:sz w:val="22"/>
          <w:szCs w:val="22"/>
        </w:rPr>
      </w:pPr>
      <w:r>
        <w:rPr>
          <w:rFonts w:ascii="Calibri" w:hAnsi="Calibri" w:cs="Calibri"/>
          <w:b/>
          <w:sz w:val="22"/>
          <w:szCs w:val="22"/>
        </w:rPr>
        <w:t>Cette convention spécifique n’est valable que pour autant qu’elle soit accompagnée de la convention générale signée par les partenaires.</w:t>
      </w:r>
    </w:p>
    <w:p>
      <w:pPr>
        <w:shd w:val="clear" w:color="auto" w:fill="FFFFFF"/>
        <w:tabs>
          <w:tab w:val="left" w:leader="underscore" w:pos="2347"/>
          <w:tab w:val="left" w:leader="underscore" w:pos="8467"/>
        </w:tabs>
        <w:spacing w:after="120"/>
        <w:jc w:val="both"/>
        <w:rPr>
          <w:rFonts w:ascii="Calibri" w:hAnsi="Calibri" w:cs="Calibri"/>
          <w:b/>
          <w:sz w:val="22"/>
          <w:szCs w:val="22"/>
        </w:rPr>
      </w:pPr>
    </w:p>
    <w:p>
      <w:pPr>
        <w:pBdr>
          <w:top w:val="single" w:sz="8" w:space="1" w:color="auto"/>
          <w:left w:val="single" w:sz="8" w:space="4" w:color="auto"/>
          <w:bottom w:val="single" w:sz="8" w:space="1" w:color="auto"/>
          <w:right w:val="single" w:sz="8" w:space="4" w:color="auto"/>
        </w:pBdr>
        <w:shd w:val="clear" w:color="auto" w:fill="FFFFFF"/>
        <w:spacing w:after="120"/>
        <w:outlineLvl w:val="0"/>
        <w:rPr>
          <w:rFonts w:ascii="Calibri" w:hAnsi="Calibri" w:cs="Calibri"/>
          <w:b/>
          <w:caps/>
          <w:sz w:val="22"/>
          <w:szCs w:val="22"/>
        </w:rPr>
      </w:pPr>
      <w:r>
        <w:rPr>
          <w:rFonts w:ascii="Calibri" w:hAnsi="Calibri" w:cs="Calibri"/>
          <w:noProof/>
          <w:sz w:val="22"/>
          <w:szCs w:val="22"/>
          <w:lang w:eastAsia="fr-BE"/>
        </w:rPr>
        <mc:AlternateContent>
          <mc:Choice Requires="wps">
            <w:drawing>
              <wp:anchor distT="0" distB="0" distL="114299" distR="114299" simplePos="0" relativeHeight="251636736" behindDoc="0" locked="0" layoutInCell="1" allowOverlap="1">
                <wp:simplePos x="0" y="0"/>
                <wp:positionH relativeFrom="margin">
                  <wp:posOffset>-1752601</wp:posOffset>
                </wp:positionH>
                <wp:positionV relativeFrom="paragraph">
                  <wp:posOffset>271780</wp:posOffset>
                </wp:positionV>
                <wp:extent cx="0" cy="240030"/>
                <wp:effectExtent l="0" t="0" r="19050" b="26670"/>
                <wp:wrapNone/>
                <wp:docPr id="108"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003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36736;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138pt,21.4pt" to="-138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dYEAIAACoEAAAOAAAAZHJzL2Uyb0RvYy54bWysU8GO2jAQvVfqP1i5QxI2ZdmIsKoI9EK7&#10;SLv9AGM7xKrjsWxDQFX/vWMH0O72UlXNwZnxjJ/fzBvPH0+dIkdhnQRdJfk4S4jQDLjU+yr5/rIe&#10;zRLiPNWcKtCiSs7CJY+Ljx/mvSnFBFpQXFiCINqVvamS1ntTpqljreioG4MRGoMN2I56dO0+5Zb2&#10;iN6pdJJl07QHy40FJpzD3XoIJouI3zSC+aemccITVSXIzcfVxnUX1nQxp+XeUtNKdqFB/4FFR6XG&#10;S29QNfWUHKz8A6qTzIKDxo8ZdCk0jWQi1oDV5Nm7ap5bakSsBZvjzK1N7v/Bsm/HrSWSo3YZSqVp&#10;hyJtpBbkPvSmN67ElKXe2lAdO+lnswH2wxENy5bqvYgcX84Gj+XhRPrmSHCcwRt2/VfgmEMPHmKj&#10;To3tAiS2gJyiHuebHuLkCRs2Ge5Oiiy7i1KltLyeM9b5LwI6EowqUUg54tLjxvnAg5bXlHCNhrVU&#10;KqqtNOmRbF4gZgg5UJKHaHTsfrdUlhxpGJj4xarepVk4aB7RWkH56mJ7KtVg4+1KBzwsBflcrGEi&#10;fj5kD6vZalaMisl0NSqyuh59Xi+L0XSd33+q7+rlss5/BWp5UbaSc6EDu+t05sXfqX95J8Nc3ebz&#10;1of0LXpsGJK9/iPpqGWQbxiEHfDz1l41xoGMyZfHEyb+tY/26ye++A0AAP//AwBQSwMEFAAGAAgA&#10;AAAhAGrqYgjeAAAACwEAAA8AAABkcnMvZG93bnJldi54bWxMj8FOwzAMhu9IvENkJG5bQjXKKHUn&#10;hMSNyzYklFvWmLa0Saom27q3x0hIcLT96/f3lZvZDeJEU+yCR7hbKhDk62A73yC8718XaxAxGW/N&#10;EDwhXCjCprq+Kk1hw9lv6bRLjeASHwuD0KY0FlLGuiVn4jKM5Pn2GSZnEo9TI+1kzlzuBpkplUtn&#10;Os8fWjPSS0t1vzs6BHXpdexzrR+/7DbsP/T9W7fSiLc38/MTiERz+gvDDz6jQ8VMh3D0NooBYZE9&#10;5CyTEFYZO3Did3NAWKscZFXK/w7VNwAAAP//AwBQSwECLQAUAAYACAAAACEAtoM4kv4AAADhAQAA&#10;EwAAAAAAAAAAAAAAAAAAAAAAW0NvbnRlbnRfVHlwZXNdLnhtbFBLAQItABQABgAIAAAAIQA4/SH/&#10;1gAAAJQBAAALAAAAAAAAAAAAAAAAAC8BAABfcmVscy8ucmVsc1BLAQItABQABgAIAAAAIQCEx/dY&#10;EAIAACoEAAAOAAAAAAAAAAAAAAAAAC4CAABkcnMvZTJvRG9jLnhtbFBLAQItABQABgAIAAAAIQBq&#10;6mII3gAAAAsBAAAPAAAAAAAAAAAAAAAAAGoEAABkcnMvZG93bnJldi54bWxQSwUGAAAAAAQABADz&#10;AAAAdQUAAAAA&#10;" strokeweight=".9pt">
                <w10:wrap anchorx="margin"/>
              </v:line>
            </w:pict>
          </mc:Fallback>
        </mc:AlternateContent>
      </w:r>
      <w:r>
        <w:rPr>
          <w:rFonts w:ascii="Calibri" w:hAnsi="Calibri" w:cs="Calibri"/>
          <w:b/>
          <w:caps/>
          <w:sz w:val="22"/>
          <w:szCs w:val="22"/>
        </w:rPr>
        <w:t>Centre de Technologies Avancées</w:t>
      </w:r>
    </w:p>
    <w:p>
      <w:pPr>
        <w:shd w:val="clear" w:color="auto" w:fill="FFFFFF"/>
        <w:spacing w:after="120"/>
        <w:rPr>
          <w:rFonts w:ascii="Calibri" w:hAnsi="Calibri" w:cs="Calibri"/>
          <w:sz w:val="22"/>
          <w:szCs w:val="22"/>
        </w:rPr>
      </w:pPr>
      <w:r>
        <w:rPr>
          <w:rFonts w:ascii="Calibri" w:hAnsi="Calibri" w:cs="Calibri"/>
          <w:sz w:val="22"/>
          <w:szCs w:val="22"/>
        </w:rPr>
        <w:t>Nom de l’institution :</w:t>
      </w:r>
    </w:p>
    <w:p>
      <w:pPr>
        <w:shd w:val="clear" w:color="auto" w:fill="FFFFFF"/>
        <w:spacing w:after="120"/>
        <w:rPr>
          <w:rFonts w:ascii="Calibri" w:hAnsi="Calibri" w:cs="Calibri"/>
          <w:sz w:val="22"/>
          <w:szCs w:val="22"/>
        </w:rPr>
      </w:pPr>
      <w:r>
        <w:rPr>
          <w:rFonts w:ascii="Calibri" w:hAnsi="Calibri" w:cs="Calibri"/>
          <w:sz w:val="22"/>
          <w:szCs w:val="22"/>
        </w:rPr>
        <w:t>Adresse :</w:t>
      </w:r>
    </w:p>
    <w:p>
      <w:pPr>
        <w:shd w:val="clear" w:color="auto" w:fill="FFFFFF"/>
        <w:spacing w:after="120"/>
        <w:rPr>
          <w:rFonts w:ascii="Calibri" w:hAnsi="Calibri" w:cs="Calibri"/>
          <w:sz w:val="22"/>
          <w:szCs w:val="22"/>
        </w:rPr>
      </w:pPr>
      <w:r>
        <w:rPr>
          <w:rFonts w:ascii="Calibri" w:hAnsi="Calibri" w:cs="Calibri"/>
          <w:sz w:val="22"/>
          <w:szCs w:val="22"/>
        </w:rPr>
        <w:t>Personne de contact :</w:t>
      </w:r>
    </w:p>
    <w:p>
      <w:pPr>
        <w:shd w:val="clear" w:color="auto" w:fill="FFFFFF"/>
        <w:tabs>
          <w:tab w:val="left" w:pos="4100"/>
        </w:tabs>
        <w:spacing w:after="120"/>
        <w:rPr>
          <w:rFonts w:ascii="Calibri" w:hAnsi="Calibri" w:cs="Calibri"/>
          <w:sz w:val="22"/>
          <w:szCs w:val="22"/>
        </w:rPr>
      </w:pPr>
      <w:r>
        <w:rPr>
          <w:rFonts w:ascii="Calibri" w:hAnsi="Calibri" w:cs="Calibri"/>
          <w:sz w:val="22"/>
          <w:szCs w:val="22"/>
        </w:rPr>
        <w:t>Téléphone :</w:t>
      </w:r>
      <w:r>
        <w:rPr>
          <w:rFonts w:ascii="Calibri" w:hAnsi="Calibri" w:cs="Calibri"/>
          <w:sz w:val="22"/>
          <w:szCs w:val="22"/>
        </w:rPr>
        <w:tab/>
        <w:t>Fax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OPERATEUR-UTILISATEUR</w:t>
      </w:r>
    </w:p>
    <w:p>
      <w:pPr>
        <w:shd w:val="clear" w:color="auto" w:fill="FFFFFF"/>
        <w:spacing w:after="120"/>
        <w:rPr>
          <w:rFonts w:ascii="Calibri" w:hAnsi="Calibri" w:cs="Calibri"/>
          <w:sz w:val="22"/>
          <w:szCs w:val="22"/>
        </w:rPr>
      </w:pPr>
      <w:r>
        <w:rPr>
          <w:rFonts w:ascii="Calibri" w:hAnsi="Calibri" w:cs="Calibri"/>
          <w:sz w:val="22"/>
          <w:szCs w:val="22"/>
        </w:rPr>
        <w:t>Nom de l'institution :</w:t>
      </w:r>
    </w:p>
    <w:p>
      <w:pPr>
        <w:shd w:val="clear" w:color="auto" w:fill="FFFFFF"/>
        <w:spacing w:after="120"/>
        <w:rPr>
          <w:rFonts w:ascii="Calibri" w:hAnsi="Calibri" w:cs="Calibri"/>
          <w:sz w:val="22"/>
          <w:szCs w:val="22"/>
        </w:rPr>
      </w:pPr>
      <w:r>
        <w:rPr>
          <w:rFonts w:ascii="Calibri" w:hAnsi="Calibri" w:cs="Calibri"/>
          <w:sz w:val="22"/>
          <w:szCs w:val="22"/>
        </w:rPr>
        <w:t>Adresse :</w:t>
      </w:r>
    </w:p>
    <w:p>
      <w:pPr>
        <w:shd w:val="clear" w:color="auto" w:fill="FFFFFF"/>
        <w:spacing w:after="120"/>
        <w:rPr>
          <w:rFonts w:ascii="Calibri" w:hAnsi="Calibri" w:cs="Calibri"/>
          <w:sz w:val="22"/>
          <w:szCs w:val="22"/>
        </w:rPr>
      </w:pPr>
      <w:r>
        <w:rPr>
          <w:rFonts w:ascii="Calibri" w:hAnsi="Calibri" w:cs="Calibri"/>
          <w:sz w:val="22"/>
          <w:szCs w:val="22"/>
        </w:rPr>
        <w:t>Personne de contact :</w:t>
      </w:r>
    </w:p>
    <w:p>
      <w:pPr>
        <w:shd w:val="clear" w:color="auto" w:fill="FFFFFF"/>
        <w:tabs>
          <w:tab w:val="left" w:pos="4097"/>
        </w:tabs>
        <w:spacing w:after="120"/>
        <w:rPr>
          <w:rFonts w:ascii="Calibri" w:hAnsi="Calibri" w:cs="Calibri"/>
          <w:sz w:val="22"/>
          <w:szCs w:val="22"/>
        </w:rPr>
      </w:pPr>
      <w:r>
        <w:rPr>
          <w:rFonts w:ascii="Calibri" w:hAnsi="Calibri" w:cs="Calibri"/>
          <w:sz w:val="22"/>
          <w:szCs w:val="22"/>
        </w:rPr>
        <w:t>Téléphone :</w:t>
      </w:r>
      <w:r>
        <w:rPr>
          <w:rFonts w:ascii="Calibri" w:hAnsi="Calibri" w:cs="Calibri"/>
          <w:sz w:val="22"/>
          <w:szCs w:val="22"/>
        </w:rPr>
        <w:tab/>
        <w:t>Fax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 xml:space="preserve">INTITULE DE </w:t>
      </w:r>
      <w:smartTag w:uri="urn:schemas-microsoft-com:office:smarttags" w:element="PersonName">
        <w:smartTagPr>
          <w:attr w:name="ProductID" w:val="LA FORMATION"/>
        </w:smartTagPr>
        <w:r>
          <w:rPr>
            <w:rFonts w:ascii="Calibri" w:hAnsi="Calibri" w:cs="Calibri"/>
            <w:b/>
            <w:bCs/>
            <w:sz w:val="22"/>
            <w:szCs w:val="22"/>
          </w:rPr>
          <w:t>LA FORMATION</w:t>
        </w:r>
      </w:smartTag>
    </w:p>
    <w:p>
      <w:pPr>
        <w:shd w:val="clear" w:color="auto" w:fill="FFFFFF"/>
        <w:spacing w:after="120"/>
        <w:ind w:right="5443"/>
        <w:rPr>
          <w:rFonts w:ascii="Calibri" w:hAnsi="Calibri" w:cs="Calibri"/>
          <w:sz w:val="22"/>
          <w:szCs w:val="22"/>
        </w:rPr>
      </w:pPr>
      <w:r>
        <w:rPr>
          <w:rFonts w:ascii="Calibri" w:hAnsi="Calibri" w:cs="Calibri"/>
          <w:sz w:val="22"/>
          <w:szCs w:val="22"/>
        </w:rPr>
        <w:t>Durée (en jours de formation) :</w:t>
      </w:r>
    </w:p>
    <w:p>
      <w:pPr>
        <w:shd w:val="clear" w:color="auto" w:fill="FFFFFF"/>
        <w:spacing w:after="120"/>
        <w:ind w:right="5443"/>
        <w:rPr>
          <w:rFonts w:ascii="Calibri" w:hAnsi="Calibri" w:cs="Calibri"/>
          <w:sz w:val="22"/>
          <w:szCs w:val="22"/>
        </w:rPr>
      </w:pPr>
      <w:r>
        <w:rPr>
          <w:rFonts w:ascii="Calibri" w:hAnsi="Calibri" w:cs="Calibri"/>
          <w:sz w:val="22"/>
          <w:szCs w:val="22"/>
        </w:rPr>
        <w:t>Nombre d'heures de théorie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Nombre d'heures de pratique :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Date(s) :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Horaire :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PARTICIPANTS</w:t>
      </w:r>
    </w:p>
    <w:p>
      <w:pPr>
        <w:tabs>
          <w:tab w:val="left" w:pos="4860"/>
        </w:tabs>
        <w:spacing w:after="120"/>
        <w:jc w:val="both"/>
        <w:rPr>
          <w:rFonts w:ascii="Calibri" w:hAnsi="Calibri" w:cs="Calibri"/>
          <w:sz w:val="22"/>
          <w:szCs w:val="22"/>
        </w:rPr>
      </w:pPr>
      <w:r>
        <w:rPr>
          <w:rFonts w:ascii="Calibri" w:hAnsi="Calibri" w:cs="Calibri"/>
          <w:sz w:val="22"/>
          <w:szCs w:val="22"/>
        </w:rPr>
        <w:t>O Enseignant(s)- formateur(s)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Nombre :……</w:t>
      </w:r>
    </w:p>
    <w:p>
      <w:pPr>
        <w:shd w:val="clear" w:color="auto" w:fill="FFFFFF"/>
        <w:spacing w:after="120"/>
        <w:jc w:val="both"/>
        <w:rPr>
          <w:rFonts w:ascii="Calibri" w:hAnsi="Calibri" w:cs="Calibri"/>
          <w:b/>
          <w:bCs/>
          <w:i/>
          <w:iCs/>
          <w:sz w:val="22"/>
          <w:szCs w:val="22"/>
        </w:rPr>
      </w:pPr>
      <w:r>
        <w:rPr>
          <w:rFonts w:ascii="Calibri" w:hAnsi="Calibri" w:cs="Calibri"/>
          <w:sz w:val="22"/>
          <w:szCs w:val="22"/>
        </w:rPr>
        <w:t>O Stagiaire(s)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Nombre :……</w:t>
      </w:r>
    </w:p>
    <w:p>
      <w:pPr>
        <w:shd w:val="clear" w:color="auto" w:fill="FFFFFF"/>
        <w:spacing w:after="120"/>
        <w:jc w:val="both"/>
        <w:rPr>
          <w:rFonts w:ascii="Calibri" w:hAnsi="Calibri" w:cs="Calibri"/>
          <w:bCs/>
          <w:iCs/>
          <w:sz w:val="22"/>
          <w:szCs w:val="22"/>
        </w:rPr>
      </w:pPr>
    </w:p>
    <w:p>
      <w:pPr>
        <w:shd w:val="clear" w:color="auto" w:fill="FFFFFF"/>
        <w:spacing w:after="120"/>
        <w:jc w:val="both"/>
        <w:rPr>
          <w:rFonts w:ascii="Calibri" w:hAnsi="Calibri" w:cs="Calibri"/>
          <w:bCs/>
          <w:iCs/>
          <w:sz w:val="22"/>
          <w:szCs w:val="22"/>
        </w:rPr>
      </w:pPr>
    </w:p>
    <w:p>
      <w:pPr>
        <w:shd w:val="clear" w:color="auto" w:fill="FFFFFF"/>
        <w:spacing w:after="120"/>
        <w:jc w:val="both"/>
        <w:rPr>
          <w:rFonts w:ascii="Calibri" w:hAnsi="Calibri" w:cs="Calibri"/>
          <w:sz w:val="22"/>
          <w:szCs w:val="22"/>
        </w:rPr>
      </w:pPr>
      <w:r>
        <w:rPr>
          <w:rFonts w:ascii="Calibri" w:hAnsi="Calibri" w:cs="Calibri"/>
          <w:sz w:val="22"/>
          <w:szCs w:val="22"/>
        </w:rPr>
        <w:t>La présente convention prend effet à la date de sa signature, elle prend fin à l'issue du cycle de formation.</w:t>
      </w:r>
    </w:p>
    <w:p>
      <w:pPr>
        <w:shd w:val="clear" w:color="auto" w:fill="FFFFFF"/>
        <w:tabs>
          <w:tab w:val="left" w:leader="dot" w:pos="2318"/>
        </w:tabs>
        <w:spacing w:after="120"/>
        <w:rPr>
          <w:rFonts w:ascii="Calibri" w:hAnsi="Calibri" w:cs="Calibri"/>
          <w:sz w:val="22"/>
          <w:szCs w:val="22"/>
        </w:rPr>
      </w:pPr>
    </w:p>
    <w:p>
      <w:pPr>
        <w:shd w:val="clear" w:color="auto" w:fill="FFFFFF"/>
        <w:tabs>
          <w:tab w:val="left" w:leader="dot" w:pos="2318"/>
        </w:tabs>
        <w:spacing w:after="120"/>
        <w:rPr>
          <w:rFonts w:ascii="Calibri" w:hAnsi="Calibri" w:cs="Calibri"/>
          <w:sz w:val="22"/>
          <w:szCs w:val="22"/>
        </w:rPr>
      </w:pPr>
      <w:r>
        <w:rPr>
          <w:rFonts w:ascii="Calibri" w:hAnsi="Calibri" w:cs="Calibri"/>
          <w:sz w:val="22"/>
          <w:szCs w:val="22"/>
        </w:rPr>
        <w:t>Fait le …../…../20..… en 2 exemplaires signés respectivement par chacune des parties.</w:t>
      </w:r>
    </w:p>
    <w:p>
      <w:pPr>
        <w:shd w:val="clear" w:color="auto" w:fill="FFFFFF"/>
        <w:tabs>
          <w:tab w:val="left" w:leader="dot" w:pos="2318"/>
        </w:tabs>
        <w:spacing w:after="120"/>
        <w:rPr>
          <w:rFonts w:ascii="Calibri" w:hAnsi="Calibri" w:cs="Calibri"/>
          <w:sz w:val="22"/>
          <w:szCs w:val="22"/>
        </w:rPr>
      </w:pPr>
    </w:p>
    <w:p>
      <w:pPr>
        <w:shd w:val="clear" w:color="auto" w:fill="FFFFFF"/>
        <w:spacing w:after="120"/>
        <w:ind w:right="23"/>
        <w:jc w:val="center"/>
        <w:rPr>
          <w:rFonts w:ascii="Calibri" w:hAnsi="Calibri" w:cs="Calibri"/>
          <w:sz w:val="22"/>
          <w:szCs w:val="22"/>
        </w:rPr>
      </w:pPr>
      <w:r>
        <w:rPr>
          <w:rFonts w:ascii="Calibri" w:hAnsi="Calibri" w:cs="Calibri"/>
          <w:sz w:val="22"/>
          <w:szCs w:val="22"/>
        </w:rPr>
        <w:t xml:space="preserve">Pour le Centre de Technologies Avancées, </w:t>
      </w:r>
      <w:r>
        <w:rPr>
          <w:rFonts w:ascii="Calibri" w:hAnsi="Calibri" w:cs="Calibri"/>
          <w:sz w:val="22"/>
          <w:szCs w:val="22"/>
        </w:rPr>
        <w:br/>
        <w:t>Nom et qualité du signataire :</w:t>
      </w:r>
    </w:p>
    <w:p>
      <w:pPr>
        <w:shd w:val="clear" w:color="auto" w:fill="FFFFFF"/>
        <w:spacing w:after="120"/>
        <w:ind w:right="23"/>
        <w:jc w:val="center"/>
        <w:rPr>
          <w:rFonts w:ascii="Calibri" w:hAnsi="Calibri" w:cs="Calibri"/>
          <w:sz w:val="22"/>
          <w:szCs w:val="22"/>
        </w:rPr>
      </w:pPr>
      <w:r>
        <w:rPr>
          <w:rFonts w:ascii="Calibri" w:hAnsi="Calibri" w:cs="Calibri"/>
          <w:sz w:val="22"/>
          <w:szCs w:val="22"/>
        </w:rPr>
        <w:t xml:space="preserve">Pour l'opérateur-utilisateur, </w:t>
      </w:r>
      <w:r>
        <w:rPr>
          <w:rFonts w:ascii="Calibri" w:hAnsi="Calibri" w:cs="Calibri"/>
          <w:sz w:val="22"/>
          <w:szCs w:val="22"/>
        </w:rPr>
        <w:br/>
        <w:t>Nom et qualité du signataire :</w:t>
      </w:r>
    </w:p>
    <w:p>
      <w:pPr>
        <w:shd w:val="clear" w:color="auto" w:fill="FFFFFF"/>
        <w:spacing w:after="120"/>
        <w:ind w:right="23"/>
        <w:jc w:val="center"/>
        <w:rPr>
          <w:rFonts w:ascii="Calibri" w:hAnsi="Calibri" w:cs="Calibri"/>
          <w:b/>
          <w:bCs/>
          <w:sz w:val="22"/>
          <w:szCs w:val="22"/>
          <w:u w:val="single"/>
        </w:rPr>
      </w:pP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t>Annexe 1 : Règlement d'ordre intérieur du CTA</w:t>
      </w:r>
    </w:p>
    <w:p>
      <w:pPr>
        <w:shd w:val="clear" w:color="auto" w:fill="FFFFFF"/>
        <w:spacing w:after="120"/>
        <w:rPr>
          <w:rFonts w:ascii="Calibri" w:hAnsi="Calibri" w:cs="Calibri"/>
          <w:b/>
          <w:bCs/>
          <w:sz w:val="22"/>
          <w:szCs w:val="22"/>
          <w:u w:val="single"/>
        </w:rPr>
      </w:pPr>
    </w:p>
    <w:p>
      <w:pPr>
        <w:shd w:val="clear" w:color="auto" w:fill="FFFFFF"/>
        <w:spacing w:after="120"/>
        <w:rPr>
          <w:rFonts w:ascii="Calibri" w:hAnsi="Calibri" w:cs="Calibri"/>
          <w:b/>
          <w:bCs/>
          <w:sz w:val="22"/>
          <w:szCs w:val="22"/>
          <w:u w:val="single"/>
        </w:rPr>
      </w:pP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t>Annexe 2 : Programme de formation</w:t>
      </w:r>
    </w:p>
    <w:p>
      <w:pPr>
        <w:shd w:val="clear" w:color="auto" w:fill="FFFFFF"/>
        <w:spacing w:after="120"/>
        <w:rPr>
          <w:rFonts w:ascii="Calibri" w:hAnsi="Calibri" w:cs="Calibri"/>
          <w:b/>
          <w:bCs/>
          <w:sz w:val="22"/>
          <w:szCs w:val="22"/>
          <w:u w:val="single"/>
        </w:rPr>
      </w:pPr>
    </w:p>
    <w:p>
      <w:pPr>
        <w:shd w:val="clear" w:color="auto" w:fill="FFFFFF"/>
        <w:spacing w:after="120"/>
        <w:rPr>
          <w:rFonts w:ascii="Calibri" w:hAnsi="Calibri" w:cs="Calibri"/>
          <w:b/>
          <w:bCs/>
          <w:sz w:val="22"/>
          <w:szCs w:val="22"/>
          <w:u w:val="single"/>
        </w:rPr>
      </w:pP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t>Annexe 3 : Liste d'analyse des risques pour les équipements proposés</w:t>
      </w:r>
    </w:p>
    <w:p>
      <w:pPr>
        <w:shd w:val="clear" w:color="auto" w:fill="FFFFFF"/>
        <w:spacing w:after="120"/>
        <w:rPr>
          <w:rFonts w:ascii="Calibri" w:hAnsi="Calibri" w:cs="Calibri"/>
          <w:bCs/>
          <w:sz w:val="22"/>
          <w:szCs w:val="22"/>
        </w:rPr>
      </w:pPr>
    </w:p>
    <w:p>
      <w:pPr>
        <w:shd w:val="clear" w:color="auto" w:fill="FFFFFF"/>
        <w:spacing w:after="120"/>
        <w:rPr>
          <w:rFonts w:ascii="Calibri" w:hAnsi="Calibri" w:cs="Calibri"/>
          <w:bCs/>
          <w:sz w:val="22"/>
          <w:szCs w:val="22"/>
        </w:rPr>
      </w:pPr>
    </w:p>
    <w:p>
      <w:pPr>
        <w:shd w:val="clear" w:color="auto" w:fill="FFFFFF"/>
        <w:spacing w:after="120"/>
        <w:outlineLvl w:val="0"/>
        <w:rPr>
          <w:rFonts w:ascii="Calibri" w:hAnsi="Calibri" w:cs="Calibri"/>
          <w:sz w:val="22"/>
          <w:szCs w:val="22"/>
        </w:rPr>
      </w:pPr>
      <w:r>
        <w:rPr>
          <w:rFonts w:ascii="Calibri" w:hAnsi="Calibri" w:cs="Calibri"/>
          <w:bCs/>
          <w:sz w:val="22"/>
          <w:szCs w:val="22"/>
        </w:rPr>
        <w:t>Ces trois documents sont propres à chaque CTA</w:t>
      </w:r>
    </w:p>
    <w:p>
      <w:pPr>
        <w:spacing w:after="120"/>
        <w:ind w:right="8165"/>
        <w:rPr>
          <w:rFonts w:ascii="Calibri" w:hAnsi="Calibri" w:cs="Calibri"/>
          <w:sz w:val="22"/>
          <w:szCs w:val="22"/>
        </w:rPr>
      </w:pPr>
    </w:p>
    <w:p>
      <w:pPr>
        <w:spacing w:after="120"/>
        <w:ind w:right="8165"/>
        <w:rPr>
          <w:rFonts w:ascii="Calibri" w:hAnsi="Calibri" w:cs="Calibri"/>
          <w:sz w:val="22"/>
          <w:szCs w:val="22"/>
        </w:rPr>
        <w:sectPr>
          <w:footnotePr>
            <w:numRestart w:val="eachSect"/>
          </w:footnotePr>
          <w:pgSz w:w="11906" w:h="16838"/>
          <w:pgMar w:top="1417" w:right="1417" w:bottom="1417" w:left="1417" w:header="708" w:footer="708" w:gutter="0"/>
          <w:cols w:space="708"/>
          <w:docGrid w:linePitch="360"/>
        </w:sect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5</w:t>
      </w:r>
    </w:p>
    <w:p>
      <w:pPr>
        <w:spacing w:before="240" w:after="240"/>
        <w:jc w:val="center"/>
        <w:rPr>
          <w:rFonts w:ascii="Calibri" w:hAnsi="Calibri" w:cs="Calibri"/>
          <w:b/>
          <w:sz w:val="36"/>
          <w:szCs w:val="36"/>
        </w:rPr>
      </w:pPr>
      <w:r>
        <w:rPr>
          <w:rFonts w:ascii="Calibri" w:hAnsi="Calibri" w:cs="Calibri"/>
          <w:b/>
          <w:sz w:val="36"/>
          <w:szCs w:val="36"/>
        </w:rPr>
        <w:t>Modèle de convention bilatérale générale et spécifique à destination des opérateurs-utilisateurs issus de l’enseignement supérieur</w:t>
      </w:r>
    </w:p>
    <w:p>
      <w:pPr>
        <w:spacing w:before="240" w:after="240"/>
        <w:jc w:val="both"/>
        <w:rPr>
          <w:rFonts w:ascii="Calibri" w:hAnsi="Calibri" w:cs="Calibri"/>
          <w:sz w:val="22"/>
          <w:szCs w:val="22"/>
        </w:rPr>
        <w:sectPr>
          <w:headerReference w:type="default" r:id="rId27"/>
          <w:footerReference w:type="default" r:id="rId28"/>
          <w:pgSz w:w="11906" w:h="16838"/>
          <w:pgMar w:top="1417" w:right="1417" w:bottom="1417" w:left="1417" w:header="708" w:footer="708" w:gutter="0"/>
          <w:cols w:space="708"/>
          <w:docGrid w:linePitch="360"/>
        </w:sectPr>
      </w:pPr>
    </w:p>
    <w:p>
      <w:pPr>
        <w:spacing w:after="120"/>
        <w:ind w:right="8165"/>
        <w:rPr>
          <w:rFonts w:ascii="Calibri" w:hAnsi="Calibri" w:cs="Calibri"/>
          <w:sz w:val="22"/>
          <w:szCs w:val="22"/>
        </w:rPr>
      </w:pPr>
      <w:r>
        <w:rPr>
          <w:rFonts w:ascii="Calibri" w:hAnsi="Calibri" w:cs="Calibri"/>
          <w:noProof/>
          <w:sz w:val="22"/>
          <w:szCs w:val="22"/>
          <w:lang w:eastAsia="fr-BE"/>
        </w:rPr>
        <w:lastRenderedPageBreak/>
        <w:drawing>
          <wp:inline distT="0" distB="0" distL="0" distR="0">
            <wp:extent cx="1424940" cy="724535"/>
            <wp:effectExtent l="0" t="0" r="3810" b="0"/>
            <wp:docPr id="7" name="Image 7" descr="Coq pau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q paulu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24940" cy="724535"/>
                    </a:xfrm>
                    <a:prstGeom prst="rect">
                      <a:avLst/>
                    </a:prstGeom>
                    <a:noFill/>
                    <a:ln>
                      <a:noFill/>
                    </a:ln>
                  </pic:spPr>
                </pic:pic>
              </a:graphicData>
            </a:graphic>
          </wp:inline>
        </w:drawing>
      </w:r>
    </w:p>
    <w:p>
      <w:pPr>
        <w:spacing w:after="120"/>
        <w:ind w:right="8165"/>
        <w:rPr>
          <w:rFonts w:ascii="Calibri" w:hAnsi="Calibri" w:cs="Calibri"/>
          <w:sz w:val="22"/>
          <w:szCs w:val="22"/>
        </w:rPr>
      </w:pPr>
    </w:p>
    <w:p>
      <w:pPr>
        <w:pBdr>
          <w:top w:val="single" w:sz="8" w:space="1" w:color="auto"/>
          <w:left w:val="single" w:sz="8" w:space="4" w:color="auto"/>
          <w:bottom w:val="single" w:sz="8" w:space="1" w:color="auto"/>
          <w:right w:val="single" w:sz="8" w:space="12" w:color="auto"/>
        </w:pBdr>
        <w:shd w:val="clear" w:color="auto" w:fill="FFFFFF"/>
        <w:spacing w:after="120"/>
        <w:ind w:right="221"/>
        <w:jc w:val="center"/>
        <w:rPr>
          <w:rFonts w:ascii="Calibri" w:hAnsi="Calibri" w:cs="Calibri"/>
          <w:b/>
          <w:smallCaps/>
          <w:sz w:val="22"/>
          <w:szCs w:val="22"/>
        </w:rPr>
      </w:pPr>
      <w:r>
        <w:rPr>
          <w:rFonts w:ascii="Calibri" w:hAnsi="Calibri" w:cs="Calibri"/>
          <w:b/>
          <w:bCs/>
          <w:smallCaps/>
          <w:sz w:val="22"/>
          <w:szCs w:val="22"/>
        </w:rPr>
        <w:t xml:space="preserve">CONVENTION BILATERALE GENERALE DE COLLABORATION ENTRE LES CENTRES DE TECHNOLOGIES AVANCEES ET LES OPERATEURS-UTILISATEURS ISSUS DES </w:t>
      </w:r>
      <w:r>
        <w:rPr>
          <w:rFonts w:ascii="Calibri" w:hAnsi="Calibri" w:cs="Calibri"/>
          <w:b/>
          <w:smallCaps/>
          <w:sz w:val="22"/>
          <w:szCs w:val="22"/>
        </w:rPr>
        <w:t>ETABLISSEMENTS D’ENSEIGNEMENT SUPERIEUR</w:t>
      </w:r>
    </w:p>
    <w:p>
      <w:pPr>
        <w:shd w:val="clear" w:color="auto" w:fill="FFFFFF"/>
        <w:spacing w:after="120"/>
        <w:rPr>
          <w:rFonts w:ascii="Calibri" w:hAnsi="Calibri" w:cs="Calibri"/>
          <w:sz w:val="22"/>
          <w:szCs w:val="22"/>
        </w:rPr>
      </w:pPr>
    </w:p>
    <w:p>
      <w:pPr>
        <w:shd w:val="clear" w:color="auto" w:fill="FFFFFF"/>
        <w:spacing w:after="120"/>
        <w:rPr>
          <w:rFonts w:ascii="Calibri" w:hAnsi="Calibri" w:cs="Calibri"/>
          <w:sz w:val="22"/>
          <w:szCs w:val="22"/>
        </w:rPr>
      </w:pPr>
      <w:r>
        <w:rPr>
          <w:rFonts w:ascii="Calibri" w:hAnsi="Calibri" w:cs="Calibri"/>
          <w:sz w:val="22"/>
          <w:szCs w:val="22"/>
        </w:rPr>
        <w:t>La présente convention est conclue entre :</w:t>
      </w:r>
    </w:p>
    <w:p>
      <w:pPr>
        <w:shd w:val="clear" w:color="auto" w:fill="FFFFFF"/>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jc w:val="center"/>
        <w:rPr>
          <w:rFonts w:ascii="Calibri" w:hAnsi="Calibri" w:cs="Calibri"/>
          <w:sz w:val="22"/>
          <w:szCs w:val="22"/>
        </w:rPr>
      </w:pPr>
      <w:r>
        <w:rPr>
          <w:rFonts w:ascii="Calibri" w:hAnsi="Calibri" w:cs="Calibri"/>
          <w:sz w:val="22"/>
          <w:szCs w:val="22"/>
        </w:rPr>
        <w:t>[Le Pouvoir organisateur de l’établissement où est établi le CTA]</w:t>
      </w:r>
      <w:r>
        <w:rPr>
          <w:rStyle w:val="Appelnotedebasdep"/>
          <w:rFonts w:ascii="Calibri" w:hAnsi="Calibri" w:cs="Calibri"/>
          <w:sz w:val="22"/>
          <w:szCs w:val="22"/>
        </w:rPr>
        <w:footnoteReference w:id="18"/>
      </w:r>
      <w:r>
        <w:rPr>
          <w:rFonts w:ascii="Calibri" w:hAnsi="Calibri" w:cs="Calibri"/>
          <w:sz w:val="22"/>
          <w:szCs w:val="22"/>
        </w:rPr>
        <w:t>:</w:t>
      </w: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jc w:val="center"/>
        <w:outlineLvl w:val="0"/>
        <w:rPr>
          <w:rFonts w:ascii="Calibri" w:hAnsi="Calibri" w:cs="Calibri"/>
          <w:sz w:val="22"/>
          <w:szCs w:val="22"/>
        </w:rPr>
      </w:pPr>
      <w:r>
        <w:rPr>
          <w:rFonts w:ascii="Calibri" w:hAnsi="Calibri" w:cs="Calibri"/>
          <w:noProof/>
          <w:sz w:val="22"/>
          <w:szCs w:val="22"/>
          <w:lang w:eastAsia="fr-BE"/>
        </w:rPr>
        <mc:AlternateContent>
          <mc:Choice Requires="wps">
            <w:drawing>
              <wp:anchor distT="0" distB="0" distL="114299" distR="114299" simplePos="0" relativeHeight="251637760" behindDoc="0" locked="0" layoutInCell="1" allowOverlap="1">
                <wp:simplePos x="0" y="0"/>
                <wp:positionH relativeFrom="margin">
                  <wp:posOffset>7491729</wp:posOffset>
                </wp:positionH>
                <wp:positionV relativeFrom="paragraph">
                  <wp:posOffset>57785</wp:posOffset>
                </wp:positionV>
                <wp:extent cx="0" cy="365760"/>
                <wp:effectExtent l="0" t="0" r="19050" b="34290"/>
                <wp:wrapNone/>
                <wp:docPr id="107"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576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37760;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589.9pt,4.55pt" to="589.9pt,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fAlEwIAACkEAAAOAAAAZHJzL2Uyb0RvYy54bWysU8GO2jAQvVfqP1i+QxI2sG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DLRLHzFS&#10;pAORNkJxNAm96Y0rwKVSWxuqoyf1ajaafndI6aolas8jx7ezgbAsRCTvQsLGGciw679oBj7k4HVs&#10;1KmxXYCEFqBT1ON804OfPKLDIYXTh9n0cRalSkhxjTPW+c9cdygYJZZAOeKS48b5wIMUV5eQRum1&#10;kDKqLRXqS5zn+TQGOC0FC5fBzdn9rpIWHUmYl/jFouDm3s3qg2IRrOWErS62J0IONiSXKuBBJUDn&#10;Yg0D8eMpfVrNV/N8lE9mq1Ge1vXo07rKR7N19jitH+qqqrOfgVqWF61gjKvA7jqcWf534l+eyTBW&#10;t/G8tSF5jx77BWSv/0g6ShnUG+Zgp9l5a68SwzxG58vbCQN/vwf7/oUvfwEAAP//AwBQSwMEFAAG&#10;AAgAAAAhAAvkAOLeAAAACgEAAA8AAABkcnMvZG93bnJldi54bWxMj8FOwzAQRO9I/IO1SNyoE4Sc&#10;NsSpKgRckKhaEL1u420SEa+j2G3Sv8cVBzjOzmjmbbGcbCdONPjWsYZ0loAgrpxpudbw+fFyNwfh&#10;A7LBzjFpOJOHZXl9VWBu3MgbOm1DLWIJ+xw1NCH0uZS+asiin7meOHoHN1gMUQ61NAOOsdx28j5J&#10;lLTYclxosKenhqrv7dFqmO9wXD+3K/VQ1Tt1eD9nr1/rN61vb6bVI4hAU/gLwwU/okMZmfbuyMaL&#10;Luo0W0T2oGGRgrgEfg97DUplIMtC/n+h/AEAAP//AwBQSwECLQAUAAYACAAAACEAtoM4kv4AAADh&#10;AQAAEwAAAAAAAAAAAAAAAAAAAAAAW0NvbnRlbnRfVHlwZXNdLnhtbFBLAQItABQABgAIAAAAIQA4&#10;/SH/1gAAAJQBAAALAAAAAAAAAAAAAAAAAC8BAABfcmVscy8ucmVsc1BLAQItABQABgAIAAAAIQDO&#10;TfAlEwIAACkEAAAOAAAAAAAAAAAAAAAAAC4CAABkcnMvZTJvRG9jLnhtbFBLAQItABQABgAIAAAA&#10;IQAL5ADi3gAAAAoBAAAPAAAAAAAAAAAAAAAAAG0EAABkcnMvZG93bnJldi54bWxQSwUGAAAAAAQA&#10;BADzAAAAeAUAAAAA&#10;" strokeweight=".35pt">
                <w10:wrap anchorx="margin"/>
              </v:line>
            </w:pict>
          </mc:Fallback>
        </mc:AlternateContent>
      </w:r>
      <w:r>
        <w:rPr>
          <w:rFonts w:ascii="Calibri" w:hAnsi="Calibri" w:cs="Calibri"/>
          <w:sz w:val="22"/>
          <w:szCs w:val="22"/>
        </w:rPr>
        <w:t>Représenté par</w:t>
      </w:r>
      <w:r>
        <w:rPr>
          <w:rStyle w:val="Appelnotedebasdep"/>
          <w:rFonts w:ascii="Calibri" w:hAnsi="Calibri" w:cs="Calibri"/>
          <w:sz w:val="22"/>
          <w:szCs w:val="22"/>
        </w:rPr>
        <w:footnoteReference w:id="19"/>
      </w:r>
      <w:r>
        <w:rPr>
          <w:rFonts w:ascii="Calibri" w:hAnsi="Calibri" w:cs="Calibri"/>
          <w:sz w:val="22"/>
          <w:szCs w:val="22"/>
        </w:rPr>
        <w:t> :</w:t>
      </w: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r>
        <w:rPr>
          <w:rFonts w:ascii="Calibri" w:hAnsi="Calibri" w:cs="Calibri"/>
          <w:noProof/>
          <w:sz w:val="22"/>
          <w:szCs w:val="22"/>
          <w:lang w:eastAsia="fr-BE"/>
        </w:rPr>
        <mc:AlternateContent>
          <mc:Choice Requires="wps">
            <w:drawing>
              <wp:anchor distT="0" distB="0" distL="114299" distR="114299" simplePos="0" relativeHeight="251638784" behindDoc="0" locked="0" layoutInCell="1" allowOverlap="1">
                <wp:simplePos x="0" y="0"/>
                <wp:positionH relativeFrom="margin">
                  <wp:posOffset>7186929</wp:posOffset>
                </wp:positionH>
                <wp:positionV relativeFrom="paragraph">
                  <wp:posOffset>213360</wp:posOffset>
                </wp:positionV>
                <wp:extent cx="0" cy="365760"/>
                <wp:effectExtent l="0" t="0" r="19050" b="34290"/>
                <wp:wrapNone/>
                <wp:docPr id="106"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576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38784;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565.9pt,16.8pt" to="565.9pt,4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V+EwIAACkEAAAOAAAAZHJzL2Uyb0RvYy54bWysU8GO2jAQvVfqP1i+QxLIsh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DLRLZxgp&#10;0oFIz0JxNA296Y0rwKVSWxuqoyf1ap41/e6Q0lVL1J5Hjm9nA2FZiEjehYSNM5Bh13/RDHzIwevY&#10;qFNjuwAJLUCnqMf5pgc/eUSHQwqn09nD4yxKlZDiGmes85+57lAwSiyBcsQlx2fnAw9SXF1CGqU3&#10;QsqotlSoL/F8vkhjgNNSsHAZ3Jzd7ypp0ZGEeYlfLApu7t2sPigWwVpO2PpieyLkYENyqQIeVAJ0&#10;LtYwED8W6WI9X8/zUT6ZrUd5WtejT5sqH8022eNDPa2rqs5+BmpZXrSCMa4Cu+twZvnfiX95JsNY&#10;3cbz1obkPXrsF5C9/iPpKGVQb5iDnWbnrb1KDPMYnS9vJwz8/R7s+xe++gUAAP//AwBQSwMEFAAG&#10;AAgAAAAhAJew8eHfAAAACwEAAA8AAABkcnMvZG93bnJldi54bWxMj8FOwzAQRO9I/IO1SFwQddJI&#10;EYQ4VShwyaESScXZiZckEK8j223D3+OKQznOzmjmbb5Z9MSOaN1oSEC8ioAhdUaN1AvYN2/3D8Cc&#10;l6TkZAgF/KCDTXF9lctMmRO947H2PQsl5DIpYPB+zjh33YBaupWZkYL3aayWPkjbc2XlKZTria+j&#10;KOVajhQWBjnjdsDuuz5oAe1rmW6byux3zUdb2bvqq6yfX4S4vVnKJ2AeF38Jwxk/oEMRmFpzIOXY&#10;FHScxIHdC0iSFNg58XdpBTzGa+BFzv//UPwCAAD//wMAUEsBAi0AFAAGAAgAAAAhALaDOJL+AAAA&#10;4QEAABMAAAAAAAAAAAAAAAAAAAAAAFtDb250ZW50X1R5cGVzXS54bWxQSwECLQAUAAYACAAAACEA&#10;OP0h/9YAAACUAQAACwAAAAAAAAAAAAAAAAAvAQAAX3JlbHMvLnJlbHNQSwECLQAUAAYACAAAACEA&#10;SPgFfhMCAAApBAAADgAAAAAAAAAAAAAAAAAuAgAAZHJzL2Uyb0RvYy54bWxQSwECLQAUAAYACAAA&#10;ACEAl7Dx4d8AAAALAQAADwAAAAAAAAAAAAAAAABtBAAAZHJzL2Rvd25yZXYueG1sUEsFBgAAAAAE&#10;AAQA8wAAAHkFAAAAAA==&#10;" strokeweight=".7pt">
                <w10:wrap anchorx="margin"/>
              </v:line>
            </w:pict>
          </mc:Fallback>
        </mc:AlternateContent>
      </w:r>
    </w:p>
    <w:p>
      <w:pPr>
        <w:spacing w:after="120"/>
        <w:jc w:val="both"/>
        <w:rPr>
          <w:rFonts w:ascii="Calibri" w:hAnsi="Calibri" w:cs="Calibri"/>
          <w:sz w:val="22"/>
          <w:szCs w:val="22"/>
        </w:rPr>
      </w:pPr>
      <w:r>
        <w:rPr>
          <w:rFonts w:ascii="Calibri" w:hAnsi="Calibri" w:cs="Calibri"/>
          <w:sz w:val="22"/>
          <w:szCs w:val="22"/>
        </w:rPr>
        <w:t>Et :</w:t>
      </w:r>
    </w:p>
    <w:p>
      <w:pPr>
        <w:pBdr>
          <w:top w:val="single" w:sz="4" w:space="1" w:color="auto"/>
          <w:left w:val="single" w:sz="4" w:space="0" w:color="auto"/>
          <w:bottom w:val="single" w:sz="4" w:space="1" w:color="auto"/>
          <w:right w:val="single" w:sz="4" w:space="4" w:color="auto"/>
        </w:pBdr>
        <w:spacing w:after="120"/>
        <w:jc w:val="center"/>
        <w:outlineLvl w:val="0"/>
        <w:rPr>
          <w:rFonts w:ascii="Calibri" w:hAnsi="Calibri" w:cs="Calibri"/>
          <w:sz w:val="22"/>
          <w:szCs w:val="22"/>
        </w:rPr>
      </w:pPr>
      <w:r>
        <w:rPr>
          <w:rFonts w:ascii="Calibri" w:hAnsi="Calibri" w:cs="Calibri"/>
          <w:sz w:val="22"/>
          <w:szCs w:val="22"/>
        </w:rPr>
        <w:t>L’opérateur-utilisateur</w:t>
      </w:r>
      <w:r>
        <w:rPr>
          <w:rStyle w:val="Appelnotedebasdep"/>
          <w:rFonts w:ascii="Calibri" w:hAnsi="Calibri" w:cs="Calibri"/>
          <w:sz w:val="22"/>
          <w:szCs w:val="22"/>
        </w:rPr>
        <w:footnoteReference w:id="20"/>
      </w:r>
      <w:r>
        <w:rPr>
          <w:rFonts w:ascii="Calibri" w:hAnsi="Calibri" w:cs="Calibri"/>
          <w:sz w:val="22"/>
          <w:szCs w:val="22"/>
        </w:rPr>
        <w:t> :</w:t>
      </w: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jc w:val="center"/>
        <w:outlineLvl w:val="0"/>
        <w:rPr>
          <w:rFonts w:ascii="Calibri" w:hAnsi="Calibri" w:cs="Calibri"/>
          <w:sz w:val="22"/>
          <w:szCs w:val="22"/>
        </w:rPr>
      </w:pPr>
      <w:r>
        <w:rPr>
          <w:rFonts w:ascii="Calibri" w:hAnsi="Calibri" w:cs="Calibri"/>
          <w:sz w:val="22"/>
          <w:szCs w:val="22"/>
        </w:rPr>
        <w:t>Représenté par</w:t>
      </w:r>
      <w:r>
        <w:rPr>
          <w:rStyle w:val="Appelnotedebasdep"/>
          <w:rFonts w:ascii="Calibri" w:hAnsi="Calibri" w:cs="Calibri"/>
          <w:sz w:val="22"/>
          <w:szCs w:val="22"/>
        </w:rPr>
        <w:footnoteReference w:id="21"/>
      </w:r>
      <w:r>
        <w:rPr>
          <w:rFonts w:ascii="Calibri" w:hAnsi="Calibri" w:cs="Calibri"/>
          <w:sz w:val="22"/>
          <w:szCs w:val="22"/>
        </w:rPr>
        <w:t> :</w:t>
      </w: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shd w:val="clear" w:color="auto" w:fill="FFFFFF"/>
        <w:spacing w:after="120"/>
        <w:rPr>
          <w:rFonts w:ascii="Calibri" w:hAnsi="Calibri" w:cs="Calibri"/>
          <w:sz w:val="22"/>
          <w:szCs w:val="22"/>
        </w:rPr>
      </w:pPr>
      <w:r>
        <w:rPr>
          <w:rFonts w:ascii="Calibri" w:hAnsi="Calibri" w:cs="Calibri"/>
          <w:b/>
          <w:bCs/>
          <w:sz w:val="22"/>
          <w:szCs w:val="22"/>
        </w:rPr>
        <w:br w:type="page"/>
      </w:r>
      <w:r>
        <w:rPr>
          <w:rFonts w:ascii="Calibri" w:hAnsi="Calibri" w:cs="Calibri"/>
          <w:b/>
          <w:bCs/>
          <w:sz w:val="22"/>
          <w:szCs w:val="22"/>
        </w:rPr>
        <w:lastRenderedPageBreak/>
        <w:t>Article 1 : Cadre légal</w:t>
      </w:r>
    </w:p>
    <w:p>
      <w:pPr>
        <w:shd w:val="clear" w:color="auto" w:fill="FFFFFF"/>
        <w:spacing w:after="240"/>
        <w:jc w:val="both"/>
        <w:rPr>
          <w:rFonts w:ascii="Calibri" w:hAnsi="Calibri" w:cs="Calibri"/>
          <w:sz w:val="22"/>
          <w:szCs w:val="22"/>
        </w:rPr>
      </w:pPr>
      <w:r>
        <w:rPr>
          <w:rFonts w:ascii="Calibri" w:hAnsi="Calibri" w:cs="Calibri"/>
          <w:sz w:val="22"/>
          <w:szCs w:val="22"/>
        </w:rPr>
        <w:t>La présente convention est conclue en application de l’article 6 du décret du 11 avril 2014 garantissant l’équipement pédagogique de l’enseignement qualifiant et fixant l’organisation des Centres de Technologies Avancées.</w:t>
      </w:r>
    </w:p>
    <w:p>
      <w:pPr>
        <w:shd w:val="clear" w:color="auto" w:fill="FFFFFF"/>
        <w:spacing w:after="120"/>
        <w:outlineLvl w:val="0"/>
        <w:rPr>
          <w:rFonts w:ascii="Calibri" w:hAnsi="Calibri" w:cs="Calibri"/>
          <w:b/>
          <w:sz w:val="22"/>
          <w:szCs w:val="22"/>
        </w:rPr>
      </w:pPr>
      <w:r>
        <w:rPr>
          <w:rFonts w:ascii="Calibri" w:hAnsi="Calibri" w:cs="Calibri"/>
          <w:b/>
          <w:bCs/>
          <w:sz w:val="22"/>
          <w:szCs w:val="22"/>
        </w:rPr>
        <w:t>Article 2 : Champ d’application</w:t>
      </w:r>
    </w:p>
    <w:p>
      <w:pPr>
        <w:shd w:val="clear" w:color="auto" w:fill="FFFFFF"/>
        <w:spacing w:after="240"/>
        <w:jc w:val="both"/>
        <w:outlineLvl w:val="0"/>
        <w:rPr>
          <w:rFonts w:ascii="Calibri" w:hAnsi="Calibri" w:cs="Calibri"/>
          <w:sz w:val="22"/>
          <w:szCs w:val="22"/>
        </w:rPr>
      </w:pPr>
      <w:r>
        <w:rPr>
          <w:rFonts w:ascii="Calibri" w:hAnsi="Calibri" w:cs="Calibri"/>
          <w:sz w:val="22"/>
          <w:szCs w:val="22"/>
        </w:rPr>
        <w:t>Cette convention s’applique aux collaborations entre les Centres de Technologies Avancées et les opérateurs-utilisateurs issus des établissements d’enseignement supérieur.</w:t>
      </w:r>
    </w:p>
    <w:p>
      <w:pPr>
        <w:shd w:val="clear" w:color="auto" w:fill="FFFFFF"/>
        <w:spacing w:after="120"/>
        <w:jc w:val="both"/>
        <w:outlineLvl w:val="0"/>
        <w:rPr>
          <w:rFonts w:ascii="Calibri" w:hAnsi="Calibri" w:cs="Calibri"/>
          <w:b/>
          <w:sz w:val="22"/>
          <w:szCs w:val="22"/>
        </w:rPr>
      </w:pPr>
      <w:r>
        <w:rPr>
          <w:rFonts w:ascii="Calibri" w:hAnsi="Calibri" w:cs="Calibri"/>
          <w:b/>
          <w:bCs/>
          <w:sz w:val="22"/>
          <w:szCs w:val="22"/>
        </w:rPr>
        <w:t>Article 3 : Définitions</w:t>
      </w:r>
    </w:p>
    <w:p>
      <w:pPr>
        <w:shd w:val="clear" w:color="auto" w:fill="FFFFFF"/>
        <w:tabs>
          <w:tab w:val="left" w:pos="-3686"/>
        </w:tabs>
        <w:spacing w:after="120"/>
        <w:ind w:right="14"/>
        <w:jc w:val="both"/>
        <w:rPr>
          <w:rFonts w:ascii="Calibri" w:hAnsi="Calibri" w:cs="Calibri"/>
          <w:sz w:val="22"/>
          <w:szCs w:val="22"/>
        </w:rPr>
      </w:pPr>
      <w:r>
        <w:rPr>
          <w:rFonts w:ascii="Calibri" w:hAnsi="Calibri" w:cs="Calibri"/>
          <w:sz w:val="22"/>
          <w:szCs w:val="22"/>
        </w:rPr>
        <w:t>Pour l’application de la présente convention, il y a lieu d’entendre par :</w:t>
      </w:r>
    </w:p>
    <w:p>
      <w:pPr>
        <w:numPr>
          <w:ilvl w:val="0"/>
          <w:numId w:val="71"/>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u w:val="single"/>
        </w:rPr>
        <w:t>« Centre de technologies avancées » (en abrégé « CTA »)</w:t>
      </w:r>
      <w:r>
        <w:rPr>
          <w:rFonts w:ascii="Calibri" w:hAnsi="Calibri" w:cs="Calibri"/>
          <w:sz w:val="22"/>
          <w:szCs w:val="22"/>
        </w:rPr>
        <w:t> : infrastructure mettant des équipements de pointe à disposition des élèves et des enseignants, quels que soient le réseau et le caractère d'enseignement, ainsi que des apprentis, des demandeurs d'emploi et des travailleurs, en vue de développer des formations qualifiantes ;</w:t>
      </w:r>
    </w:p>
    <w:p>
      <w:pPr>
        <w:numPr>
          <w:ilvl w:val="0"/>
          <w:numId w:val="71"/>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u w:val="single"/>
        </w:rPr>
        <w:t>« Opérateur-utilisateur »</w:t>
      </w:r>
      <w:r>
        <w:rPr>
          <w:rFonts w:ascii="Calibri" w:hAnsi="Calibri" w:cs="Calibri"/>
          <w:sz w:val="22"/>
          <w:szCs w:val="22"/>
        </w:rPr>
        <w:t> : établissements d’enseignement supérieur ;</w:t>
      </w:r>
    </w:p>
    <w:p>
      <w:pPr>
        <w:numPr>
          <w:ilvl w:val="0"/>
          <w:numId w:val="71"/>
        </w:numPr>
        <w:shd w:val="clear" w:color="auto" w:fill="FFFFFF"/>
        <w:spacing w:after="120"/>
        <w:ind w:left="426"/>
        <w:jc w:val="both"/>
        <w:rPr>
          <w:rFonts w:ascii="Calibri" w:hAnsi="Calibri" w:cs="Calibri"/>
          <w:sz w:val="22"/>
          <w:szCs w:val="22"/>
        </w:rPr>
      </w:pPr>
      <w:r>
        <w:rPr>
          <w:rFonts w:ascii="Calibri" w:hAnsi="Calibri" w:cs="Calibri"/>
          <w:sz w:val="22"/>
          <w:szCs w:val="22"/>
          <w:u w:val="single"/>
        </w:rPr>
        <w:t>« Stagiaires »</w:t>
      </w:r>
      <w:r>
        <w:rPr>
          <w:rFonts w:ascii="Calibri" w:hAnsi="Calibri" w:cs="Calibri"/>
          <w:sz w:val="22"/>
          <w:szCs w:val="22"/>
        </w:rPr>
        <w:t> : étudiants de l’enseignement supérieur ;</w:t>
      </w:r>
    </w:p>
    <w:p>
      <w:pPr>
        <w:numPr>
          <w:ilvl w:val="0"/>
          <w:numId w:val="71"/>
        </w:numPr>
        <w:shd w:val="clear" w:color="auto" w:fill="FFFFFF"/>
        <w:spacing w:after="240"/>
        <w:ind w:left="426"/>
        <w:jc w:val="both"/>
        <w:rPr>
          <w:rFonts w:ascii="Calibri" w:hAnsi="Calibri" w:cs="Calibri"/>
          <w:sz w:val="22"/>
          <w:szCs w:val="22"/>
        </w:rPr>
      </w:pPr>
      <w:r>
        <w:rPr>
          <w:rFonts w:ascii="Calibri" w:hAnsi="Calibri" w:cs="Calibri"/>
          <w:sz w:val="22"/>
          <w:szCs w:val="22"/>
          <w:u w:val="single"/>
        </w:rPr>
        <w:t>« Enseignants-formateurs »</w:t>
      </w:r>
      <w:r>
        <w:rPr>
          <w:rFonts w:ascii="Calibri" w:hAnsi="Calibri" w:cs="Calibri"/>
          <w:sz w:val="22"/>
          <w:szCs w:val="22"/>
        </w:rPr>
        <w:t> : enseignants ou formateurs désignés par les établissements d’enseignement supérieur dans le but de former les étudiants au sein d’un CTA.</w:t>
      </w:r>
    </w:p>
    <w:p>
      <w:pPr>
        <w:shd w:val="clear" w:color="auto" w:fill="FFFFFF"/>
        <w:spacing w:after="120"/>
        <w:outlineLvl w:val="0"/>
        <w:rPr>
          <w:rFonts w:ascii="Calibri" w:hAnsi="Calibri" w:cs="Calibri"/>
          <w:b/>
          <w:bCs/>
          <w:sz w:val="22"/>
          <w:szCs w:val="22"/>
        </w:rPr>
      </w:pPr>
      <w:r>
        <w:rPr>
          <w:rFonts w:ascii="Calibri" w:hAnsi="Calibri" w:cs="Calibri"/>
          <w:b/>
          <w:bCs/>
          <w:sz w:val="22"/>
          <w:szCs w:val="22"/>
        </w:rPr>
        <w:t>Article 4 : Engagements généraux des partenaires</w:t>
      </w:r>
    </w:p>
    <w:p>
      <w:pPr>
        <w:shd w:val="clear" w:color="auto" w:fill="FFFFFF"/>
        <w:spacing w:after="120"/>
        <w:rPr>
          <w:rFonts w:ascii="Calibri" w:hAnsi="Calibri" w:cs="Calibri"/>
          <w:sz w:val="22"/>
          <w:szCs w:val="22"/>
        </w:rPr>
      </w:pPr>
      <w:r>
        <w:rPr>
          <w:rFonts w:ascii="Calibri" w:hAnsi="Calibri" w:cs="Calibri"/>
          <w:sz w:val="22"/>
          <w:szCs w:val="22"/>
        </w:rPr>
        <w:t xml:space="preserve">§1. </w:t>
      </w:r>
      <w:r>
        <w:rPr>
          <w:rFonts w:ascii="Calibri" w:hAnsi="Calibri" w:cs="Calibri"/>
          <w:sz w:val="22"/>
          <w:szCs w:val="22"/>
          <w:u w:val="single"/>
        </w:rPr>
        <w:t>Engagements du Pouvoir organisateur auprès duquel est établi le CTA</w:t>
      </w:r>
      <w:r>
        <w:rPr>
          <w:rFonts w:ascii="Calibri" w:hAnsi="Calibri" w:cs="Calibri"/>
          <w:sz w:val="22"/>
          <w:szCs w:val="22"/>
        </w:rPr>
        <w:t xml:space="preserve"> :</w:t>
      </w:r>
    </w:p>
    <w:p>
      <w:pPr>
        <w:widowControl w:val="0"/>
        <w:numPr>
          <w:ilvl w:val="0"/>
          <w:numId w:val="72"/>
        </w:numPr>
        <w:shd w:val="clear" w:color="auto" w:fill="FFFFFF"/>
        <w:autoSpaceDE w:val="0"/>
        <w:autoSpaceDN w:val="0"/>
        <w:adjustRightInd w:val="0"/>
        <w:spacing w:after="120"/>
        <w:ind w:left="426"/>
        <w:jc w:val="both"/>
        <w:rPr>
          <w:rFonts w:ascii="Calibri" w:hAnsi="Calibri" w:cs="Calibri"/>
          <w:sz w:val="22"/>
          <w:szCs w:val="22"/>
        </w:rPr>
      </w:pPr>
      <w:r>
        <w:rPr>
          <w:rFonts w:ascii="Calibri" w:hAnsi="Calibri" w:cs="Calibri"/>
          <w:sz w:val="22"/>
          <w:szCs w:val="22"/>
        </w:rPr>
        <w:t>Le CTA accueille sans discrimination les étudiants et les enseignants issus des établissements d'enseignement supérieur ;</w:t>
      </w:r>
    </w:p>
    <w:p>
      <w:pPr>
        <w:widowControl w:val="0"/>
        <w:numPr>
          <w:ilvl w:val="0"/>
          <w:numId w:val="72"/>
        </w:numPr>
        <w:shd w:val="clear" w:color="auto" w:fill="FFFFFF"/>
        <w:autoSpaceDE w:val="0"/>
        <w:autoSpaceDN w:val="0"/>
        <w:adjustRightInd w:val="0"/>
        <w:spacing w:after="120"/>
        <w:ind w:left="426" w:right="11"/>
        <w:jc w:val="both"/>
        <w:rPr>
          <w:rFonts w:ascii="Calibri" w:hAnsi="Calibri" w:cs="Calibri"/>
          <w:sz w:val="22"/>
          <w:szCs w:val="22"/>
        </w:rPr>
      </w:pPr>
      <w:r>
        <w:rPr>
          <w:rFonts w:ascii="Calibri" w:hAnsi="Calibri" w:cs="Calibri"/>
          <w:sz w:val="22"/>
          <w:szCs w:val="22"/>
        </w:rPr>
        <w:t>Le CTA met à disposition de l’opérateur-utilisateur l'infrastructure, les locaux équipés, le matériel didactique nécessaire au déroulement des formations ainsi que le personnel administratif de liaison. Ces équipements doivent être en parfait ordre de marche et respecter toutes les normes légales (sécurité, environnement, etc.).</w:t>
      </w:r>
    </w:p>
    <w:p>
      <w:pPr>
        <w:numPr>
          <w:ilvl w:val="0"/>
          <w:numId w:val="72"/>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rPr>
        <w:t>Le CTA s’engage à ne pas utiliser les informations personnelles transmises par l’opérateur-utilisateur à des fins publicitaires ou commerciales.</w:t>
      </w:r>
    </w:p>
    <w:p>
      <w:pPr>
        <w:shd w:val="clear" w:color="auto" w:fill="FFFFFF"/>
        <w:spacing w:after="120"/>
        <w:jc w:val="both"/>
        <w:rPr>
          <w:rFonts w:ascii="Calibri" w:hAnsi="Calibri" w:cs="Calibri"/>
          <w:sz w:val="22"/>
          <w:szCs w:val="22"/>
        </w:rPr>
      </w:pPr>
      <w:r>
        <w:rPr>
          <w:rFonts w:ascii="Calibri" w:hAnsi="Calibri" w:cs="Calibri"/>
          <w:sz w:val="22"/>
          <w:szCs w:val="22"/>
        </w:rPr>
        <w:t xml:space="preserve">§2. </w:t>
      </w:r>
      <w:r>
        <w:rPr>
          <w:rFonts w:ascii="Calibri" w:hAnsi="Calibri" w:cs="Calibri"/>
          <w:sz w:val="22"/>
          <w:szCs w:val="22"/>
          <w:u w:val="single"/>
        </w:rPr>
        <w:t xml:space="preserve">Engagements de l’opérateur-utilisateur </w:t>
      </w:r>
      <w:r>
        <w:rPr>
          <w:rFonts w:ascii="Calibri" w:hAnsi="Calibri" w:cs="Calibri"/>
          <w:sz w:val="22"/>
          <w:szCs w:val="22"/>
        </w:rPr>
        <w:t>:</w:t>
      </w:r>
    </w:p>
    <w:p>
      <w:pPr>
        <w:widowControl w:val="0"/>
        <w:numPr>
          <w:ilvl w:val="0"/>
          <w:numId w:val="73"/>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 charge de demander l’accès aux équipements du CTA auprès du coordonnateur de ce dernier qui établit, avec l’opérateur-utilisateur, un calendrier de travail.</w:t>
      </w:r>
    </w:p>
    <w:p>
      <w:pPr>
        <w:widowControl w:val="0"/>
        <w:numPr>
          <w:ilvl w:val="0"/>
          <w:numId w:val="73"/>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faire encadrer les stagiaires par des enseignants-formateurs pouvant attester d’une maitrise des équipements mis à disposition par le CTA, soit au moyen d’une attestation délivrée, soit au terme d’une formation préalable soit en raison d’une expérience professionnelle suffisante ;</w:t>
      </w:r>
    </w:p>
    <w:p>
      <w:pPr>
        <w:widowControl w:val="0"/>
        <w:numPr>
          <w:ilvl w:val="0"/>
          <w:numId w:val="73"/>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Les stagiaires et les enseignants-formateurs de l'opérateur-utilisateur s’engagent à respecter les dispositions du règlement d'ordre intérieur du CTA pendant toute la durée de la formation ;</w:t>
      </w:r>
    </w:p>
    <w:p>
      <w:pPr>
        <w:widowControl w:val="0"/>
        <w:numPr>
          <w:ilvl w:val="0"/>
          <w:numId w:val="73"/>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utiliser en bon père de famille les équipements mis à sa disposition par le CTA ;</w:t>
      </w:r>
    </w:p>
    <w:p>
      <w:pPr>
        <w:widowControl w:val="0"/>
        <w:numPr>
          <w:ilvl w:val="0"/>
          <w:numId w:val="73"/>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 xml:space="preserve">L’opérateur-utilisateur s’engage à fournir au coordonnateur du CTA, au plus tard le premier jour de la formation, une liste complète des stagiaires et des enseignants-formateurs inscrits aux formations et la preuve que ceux-ci sont assurés pendant toute la durée de la formation. La liste </w:t>
      </w:r>
      <w:r>
        <w:rPr>
          <w:rFonts w:ascii="Calibri" w:hAnsi="Calibri" w:cs="Calibri"/>
          <w:sz w:val="22"/>
          <w:szCs w:val="22"/>
        </w:rPr>
        <w:lastRenderedPageBreak/>
        <w:t>comprendra les noms, prénoms et dates de naissance de chacun des stagiaires et de chacun des enseignants-formateurs. La transmission de ces informations est contractuelle. La non transmission de ces informations peut entraîner l’annulation de la formation ;</w:t>
      </w:r>
    </w:p>
    <w:p>
      <w:pPr>
        <w:widowControl w:val="0"/>
        <w:numPr>
          <w:ilvl w:val="0"/>
          <w:numId w:val="73"/>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expliquer aux stagiaires qu’il envoie en formation au sein du CTA l’utilisation faite des données personnelles fournies au coordonnateur du centre avant chaque formation (voir article 8), ainsi que leur droit de demander au responsable du traitement final la rectification ou l'effacement de données à caractère personnel, ou une limitation du traitement des données à caractère personnel relatives à la personne concernée, leur droit de s'opposer à ce traitement et leur droit d'introduire une réclamation auprès d'une autorité de contrôle ;</w:t>
      </w:r>
    </w:p>
    <w:p>
      <w:pPr>
        <w:widowControl w:val="0"/>
        <w:numPr>
          <w:ilvl w:val="0"/>
          <w:numId w:val="73"/>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L'opérateur-utilisateur s’engage à assurer l’organisation et le contrôle du transport et de l'hébergement des stagiaires et des enseignants-formateurs ;</w:t>
      </w:r>
    </w:p>
    <w:p>
      <w:pPr>
        <w:widowControl w:val="0"/>
        <w:numPr>
          <w:ilvl w:val="0"/>
          <w:numId w:val="73"/>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Dans le cas où l'opérateur-utilisateur voudrait réaliser et emporter un produit fini, il est tenu d'en informer le coordonnateur du CTA lors de sa demande d'accès au CTA. Celui-ci se réserve néanmoins le droit de ne pas accéder à cette requête</w:t>
      </w:r>
      <w:r>
        <w:rPr>
          <w:rStyle w:val="Appelnotedebasdep"/>
          <w:rFonts w:ascii="Calibri" w:hAnsi="Calibri" w:cs="Calibri"/>
          <w:sz w:val="22"/>
          <w:szCs w:val="22"/>
        </w:rPr>
        <w:footnoteReference w:id="22"/>
      </w:r>
      <w:r>
        <w:rPr>
          <w:rFonts w:ascii="Calibri" w:hAnsi="Calibri" w:cs="Calibri"/>
          <w:sz w:val="22"/>
          <w:szCs w:val="22"/>
        </w:rPr>
        <w:t> ;</w:t>
      </w:r>
    </w:p>
    <w:p>
      <w:pPr>
        <w:numPr>
          <w:ilvl w:val="0"/>
          <w:numId w:val="73"/>
        </w:numPr>
        <w:shd w:val="clear" w:color="auto" w:fill="FFFFFF"/>
        <w:spacing w:after="240"/>
        <w:ind w:left="426"/>
        <w:jc w:val="both"/>
        <w:rPr>
          <w:rFonts w:ascii="Calibri" w:hAnsi="Calibri" w:cs="Calibri"/>
          <w:sz w:val="22"/>
          <w:szCs w:val="22"/>
        </w:rPr>
      </w:pPr>
      <w:r>
        <w:rPr>
          <w:rFonts w:ascii="Calibri" w:hAnsi="Calibri" w:cs="Calibri"/>
          <w:sz w:val="22"/>
          <w:szCs w:val="22"/>
        </w:rPr>
        <w:t>L’opérateur-utilisateur s’engage à participer à l’évaluation des CTA s’il est sollicité à cet égard.</w:t>
      </w:r>
    </w:p>
    <w:p>
      <w:pPr>
        <w:shd w:val="clear" w:color="auto" w:fill="FFFFFF"/>
        <w:spacing w:after="120"/>
        <w:rPr>
          <w:rFonts w:ascii="Calibri" w:hAnsi="Calibri" w:cs="Calibri"/>
          <w:b/>
          <w:bCs/>
          <w:sz w:val="22"/>
          <w:szCs w:val="22"/>
        </w:rPr>
      </w:pPr>
      <w:r>
        <w:rPr>
          <w:rFonts w:ascii="Calibri" w:hAnsi="Calibri" w:cs="Calibri"/>
          <w:b/>
          <w:bCs/>
          <w:sz w:val="22"/>
          <w:szCs w:val="22"/>
        </w:rPr>
        <w:t>Article 5 : Organisation de la formation</w:t>
      </w:r>
    </w:p>
    <w:p>
      <w:pPr>
        <w:shd w:val="clear" w:color="auto" w:fill="FFFFFF"/>
        <w:spacing w:after="120"/>
        <w:ind w:right="36"/>
        <w:jc w:val="both"/>
        <w:rPr>
          <w:rFonts w:ascii="Calibri" w:hAnsi="Calibri" w:cs="Calibri"/>
          <w:sz w:val="22"/>
          <w:szCs w:val="22"/>
        </w:rPr>
      </w:pPr>
      <w:r>
        <w:rPr>
          <w:rFonts w:ascii="Calibri" w:hAnsi="Calibri" w:cs="Calibri"/>
          <w:sz w:val="22"/>
          <w:szCs w:val="22"/>
        </w:rPr>
        <w:t xml:space="preserve">Chaque formation peut faire l'objet d'une convention spécifique entre le CTA et l'opérateur-utilisateur précisant l'intitulé de la formation, les dates de formation, le nombre d'heures de formation, le nombre de stagiaires concernés. </w:t>
      </w:r>
    </w:p>
    <w:p>
      <w:pPr>
        <w:spacing w:after="120"/>
        <w:jc w:val="both"/>
        <w:rPr>
          <w:rFonts w:ascii="Calibri" w:hAnsi="Calibri" w:cs="Calibri"/>
          <w:sz w:val="22"/>
          <w:szCs w:val="22"/>
        </w:rPr>
      </w:pPr>
      <w:r>
        <w:rPr>
          <w:rFonts w:ascii="Calibri" w:hAnsi="Calibri" w:cs="Calibri"/>
          <w:sz w:val="22"/>
          <w:szCs w:val="22"/>
        </w:rPr>
        <w:t xml:space="preserve">Dans tous les cas, l’opérateur-utilisateur s’engage à fournir au CTA la liste des participants ainsi que l’identité du formateur </w:t>
      </w:r>
      <w:r>
        <w:rPr>
          <w:rFonts w:ascii="Calibri" w:hAnsi="Calibri" w:cs="Calibri"/>
          <w:b/>
          <w:sz w:val="22"/>
          <w:szCs w:val="22"/>
          <w:u w:val="single"/>
        </w:rPr>
        <w:t>au plus tard le premier jour de la formation</w:t>
      </w:r>
      <w:r>
        <w:rPr>
          <w:rFonts w:ascii="Calibri" w:hAnsi="Calibri" w:cs="Calibri"/>
          <w:sz w:val="22"/>
          <w:szCs w:val="22"/>
        </w:rPr>
        <w:t>. Le CTA doit quant à lui obligatoirement communiquer les renseignements suivants aux futurs utilisateurs avant le début de la formation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 xml:space="preserve">le règlement d’ordre intérieur du CTA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le programme de la formation</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 xml:space="preserve">l’analyse des risques pour les équipements proposés </w:t>
      </w:r>
    </w:p>
    <w:p>
      <w:pPr>
        <w:shd w:val="clear" w:color="auto" w:fill="FFFFFF"/>
        <w:spacing w:after="240"/>
        <w:ind w:right="34"/>
        <w:jc w:val="both"/>
        <w:rPr>
          <w:rFonts w:ascii="Calibri" w:hAnsi="Calibri" w:cs="Calibri"/>
          <w:sz w:val="22"/>
          <w:szCs w:val="22"/>
        </w:rPr>
      </w:pPr>
      <w:r>
        <w:rPr>
          <w:rFonts w:ascii="Calibri" w:hAnsi="Calibri" w:cs="Calibri"/>
          <w:sz w:val="22"/>
          <w:szCs w:val="22"/>
        </w:rPr>
        <w:t>Un état des lieux est établi avant le début du cycle de chaque formation. En cas de constatation de dysfonctionnement des équipements, l'opérateur-utilisateur signalera la chose avant le début de la formation.</w:t>
      </w:r>
    </w:p>
    <w:p>
      <w:pPr>
        <w:widowControl w:val="0"/>
        <w:shd w:val="clear" w:color="auto" w:fill="FFFFFF"/>
        <w:autoSpaceDE w:val="0"/>
        <w:autoSpaceDN w:val="0"/>
        <w:adjustRightInd w:val="0"/>
        <w:spacing w:after="120"/>
        <w:ind w:right="6"/>
        <w:jc w:val="both"/>
        <w:rPr>
          <w:rFonts w:ascii="Calibri" w:hAnsi="Calibri" w:cs="Calibri"/>
          <w:b/>
          <w:bCs/>
          <w:sz w:val="22"/>
          <w:szCs w:val="22"/>
        </w:rPr>
      </w:pPr>
      <w:r>
        <w:rPr>
          <w:rFonts w:ascii="Calibri" w:hAnsi="Calibri" w:cs="Calibri"/>
          <w:b/>
          <w:bCs/>
          <w:sz w:val="22"/>
          <w:szCs w:val="22"/>
        </w:rPr>
        <w:t>Article 6 : Responsabilités des partenaires</w:t>
      </w:r>
    </w:p>
    <w:p>
      <w:pPr>
        <w:widowControl w:val="0"/>
        <w:shd w:val="clear" w:color="auto" w:fill="FFFFFF"/>
        <w:autoSpaceDE w:val="0"/>
        <w:autoSpaceDN w:val="0"/>
        <w:adjustRightInd w:val="0"/>
        <w:spacing w:after="120"/>
        <w:ind w:right="18"/>
        <w:jc w:val="both"/>
        <w:rPr>
          <w:rFonts w:ascii="Calibri" w:hAnsi="Calibri" w:cs="Calibri"/>
          <w:sz w:val="22"/>
          <w:szCs w:val="22"/>
        </w:rPr>
      </w:pPr>
      <w:r>
        <w:rPr>
          <w:rFonts w:ascii="Calibri" w:hAnsi="Calibri" w:cs="Calibri"/>
          <w:sz w:val="22"/>
          <w:szCs w:val="22"/>
        </w:rPr>
        <w:t>§1</w:t>
      </w:r>
      <w:r>
        <w:rPr>
          <w:rFonts w:ascii="Calibri" w:hAnsi="Calibri" w:cs="Calibri"/>
          <w:sz w:val="22"/>
          <w:szCs w:val="22"/>
          <w:vertAlign w:val="superscript"/>
        </w:rPr>
        <w:t>er</w:t>
      </w:r>
      <w:r>
        <w:rPr>
          <w:rFonts w:ascii="Calibri" w:hAnsi="Calibri" w:cs="Calibri"/>
          <w:sz w:val="22"/>
          <w:szCs w:val="22"/>
        </w:rPr>
        <w:t xml:space="preserve">. </w:t>
      </w:r>
      <w:r>
        <w:rPr>
          <w:rFonts w:ascii="Calibri" w:hAnsi="Calibri" w:cs="Calibri"/>
          <w:sz w:val="22"/>
          <w:szCs w:val="22"/>
          <w:u w:val="single"/>
        </w:rPr>
        <w:t>Responsabilités de l’opérateur-utilisateur</w:t>
      </w:r>
    </w:p>
    <w:p>
      <w:pPr>
        <w:widowControl w:val="0"/>
        <w:numPr>
          <w:ilvl w:val="0"/>
          <w:numId w:val="74"/>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 xml:space="preserve">L'opérateur-utilisateur veillera à ce que les enseignants-formateurs et les stagiaires soient couverts pour l'ensemble des risques (responsabilité civile, accidents du travail, etc.) ; </w:t>
      </w:r>
    </w:p>
    <w:p>
      <w:pPr>
        <w:widowControl w:val="0"/>
        <w:numPr>
          <w:ilvl w:val="0"/>
          <w:numId w:val="74"/>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L'opérateur-utilisateur est responsable du comportement des personnes et des dégâts éventuels causés à l'infrastructure.</w:t>
      </w:r>
    </w:p>
    <w:p>
      <w:pPr>
        <w:widowControl w:val="0"/>
        <w:shd w:val="clear" w:color="auto" w:fill="FFFFFF"/>
        <w:autoSpaceDE w:val="0"/>
        <w:autoSpaceDN w:val="0"/>
        <w:adjustRightInd w:val="0"/>
        <w:spacing w:after="120"/>
        <w:ind w:right="18"/>
        <w:jc w:val="both"/>
        <w:rPr>
          <w:rFonts w:ascii="Calibri" w:hAnsi="Calibri" w:cs="Calibri"/>
          <w:sz w:val="22"/>
          <w:szCs w:val="22"/>
        </w:rPr>
      </w:pPr>
      <w:r>
        <w:rPr>
          <w:rFonts w:ascii="Calibri" w:hAnsi="Calibri" w:cs="Calibri"/>
          <w:sz w:val="22"/>
          <w:szCs w:val="22"/>
        </w:rPr>
        <w:t xml:space="preserve">§2. </w:t>
      </w:r>
      <w:r>
        <w:rPr>
          <w:rFonts w:ascii="Calibri" w:hAnsi="Calibri" w:cs="Calibri"/>
          <w:sz w:val="22"/>
          <w:szCs w:val="22"/>
          <w:u w:val="single"/>
        </w:rPr>
        <w:t>Responsabilités du CTA</w:t>
      </w:r>
    </w:p>
    <w:p>
      <w:pPr>
        <w:widowControl w:val="0"/>
        <w:shd w:val="clear" w:color="auto" w:fill="FFFFFF"/>
        <w:autoSpaceDE w:val="0"/>
        <w:autoSpaceDN w:val="0"/>
        <w:adjustRightInd w:val="0"/>
        <w:spacing w:after="240"/>
        <w:ind w:right="17"/>
        <w:jc w:val="both"/>
        <w:rPr>
          <w:rFonts w:ascii="Calibri" w:hAnsi="Calibri" w:cs="Calibri"/>
          <w:sz w:val="22"/>
          <w:szCs w:val="22"/>
        </w:rPr>
      </w:pPr>
      <w:r>
        <w:rPr>
          <w:rFonts w:ascii="Calibri" w:hAnsi="Calibri" w:cs="Calibri"/>
          <w:sz w:val="22"/>
          <w:szCs w:val="22"/>
        </w:rPr>
        <w:t>Le CTA ne pourra être tenu responsable que pour les dommages causés par la défectuosité des bâtiments et/ou équipements mis à disposition de l’opérateur- utilisateur.</w:t>
      </w:r>
    </w:p>
    <w:p>
      <w:pPr>
        <w:rPr>
          <w:rFonts w:ascii="Calibri" w:hAnsi="Calibri" w:cs="Calibri"/>
          <w:b/>
          <w:bCs/>
          <w:sz w:val="22"/>
          <w:szCs w:val="22"/>
        </w:rPr>
      </w:pPr>
      <w:r>
        <w:rPr>
          <w:rFonts w:ascii="Calibri" w:hAnsi="Calibri" w:cs="Calibri"/>
          <w:b/>
          <w:bCs/>
          <w:sz w:val="22"/>
          <w:szCs w:val="22"/>
        </w:rPr>
        <w:br w:type="page"/>
      </w:r>
    </w:p>
    <w:p>
      <w:pPr>
        <w:spacing w:after="120"/>
        <w:jc w:val="both"/>
        <w:outlineLvl w:val="0"/>
        <w:rPr>
          <w:rFonts w:ascii="Calibri" w:hAnsi="Calibri" w:cs="Calibri"/>
          <w:b/>
          <w:bCs/>
          <w:sz w:val="22"/>
          <w:szCs w:val="22"/>
        </w:rPr>
      </w:pPr>
      <w:r>
        <w:rPr>
          <w:rFonts w:ascii="Calibri" w:hAnsi="Calibri" w:cs="Calibri"/>
          <w:b/>
          <w:bCs/>
          <w:sz w:val="22"/>
          <w:szCs w:val="22"/>
        </w:rPr>
        <w:lastRenderedPageBreak/>
        <w:t>Article 7 : La prise en charge des frais</w:t>
      </w:r>
    </w:p>
    <w:p>
      <w:pPr>
        <w:pStyle w:val="xmsonormal"/>
        <w:shd w:val="clear" w:color="auto" w:fill="FFFFFF"/>
        <w:spacing w:before="0" w:beforeAutospacing="0" w:after="120" w:afterAutospacing="0"/>
        <w:jc w:val="both"/>
        <w:rPr>
          <w:rFonts w:asciiTheme="minorHAnsi" w:hAnsiTheme="minorHAnsi" w:cstheme="minorHAnsi"/>
          <w:sz w:val="22"/>
          <w:szCs w:val="22"/>
          <w:lang w:val="fr-BE"/>
        </w:rPr>
      </w:pPr>
      <w:r>
        <w:rPr>
          <w:rFonts w:asciiTheme="minorHAnsi" w:hAnsiTheme="minorHAnsi" w:cstheme="minorHAnsi"/>
          <w:sz w:val="22"/>
          <w:szCs w:val="22"/>
          <w:lang w:val="fr-BE"/>
        </w:rPr>
        <w:t xml:space="preserve">Les frais de consommables seront facturés trimestriellement par la Communauté française à l’opérateur-utilisateur </w:t>
      </w:r>
      <w:r>
        <w:rPr>
          <w:rFonts w:asciiTheme="minorHAnsi" w:hAnsiTheme="minorHAnsi" w:cstheme="minorHAnsi"/>
          <w:color w:val="000000"/>
          <w:sz w:val="22"/>
          <w:szCs w:val="22"/>
        </w:rPr>
        <w:t xml:space="preserve">sur base d'un montant forfaitaire de 10 € / 15 € / 20 € / 25 € </w:t>
      </w:r>
      <w:r>
        <w:rPr>
          <w:rStyle w:val="Appelnotedebasdep"/>
          <w:rFonts w:asciiTheme="minorHAnsi" w:hAnsiTheme="minorHAnsi" w:cstheme="minorHAnsi"/>
          <w:color w:val="000000"/>
          <w:sz w:val="22"/>
          <w:szCs w:val="22"/>
        </w:rPr>
        <w:footnoteReference w:id="23"/>
      </w:r>
      <w:r>
        <w:rPr>
          <w:rFonts w:asciiTheme="minorHAnsi" w:hAnsiTheme="minorHAnsi" w:cstheme="minorHAnsi"/>
          <w:color w:val="000000"/>
          <w:sz w:val="22"/>
          <w:szCs w:val="22"/>
        </w:rPr>
        <w:t xml:space="preserve"> par journée de formation/stagiaire</w:t>
      </w:r>
      <w:r>
        <w:rPr>
          <w:rStyle w:val="Appelnotedebasdep"/>
          <w:rFonts w:asciiTheme="minorHAnsi" w:hAnsiTheme="minorHAnsi" w:cstheme="minorHAnsi"/>
          <w:color w:val="000000"/>
          <w:sz w:val="22"/>
          <w:szCs w:val="22"/>
        </w:rPr>
        <w:footnoteReference w:id="24"/>
      </w:r>
      <w:r>
        <w:rPr>
          <w:rFonts w:asciiTheme="minorHAnsi" w:hAnsiTheme="minorHAnsi" w:cstheme="minorHAnsi"/>
          <w:sz w:val="22"/>
          <w:szCs w:val="22"/>
          <w:lang w:val="fr-BE"/>
        </w:rPr>
        <w:t>.</w:t>
      </w:r>
    </w:p>
    <w:p>
      <w:pPr>
        <w:pStyle w:val="xmsonormal"/>
        <w:shd w:val="clear" w:color="auto" w:fill="FFFFFF"/>
        <w:spacing w:before="0" w:beforeAutospacing="0" w:after="120" w:afterAutospacing="0"/>
        <w:jc w:val="both"/>
        <w:rPr>
          <w:rFonts w:ascii="Calibri" w:hAnsi="Calibri" w:cs="Calibri"/>
          <w:sz w:val="22"/>
          <w:szCs w:val="22"/>
          <w:u w:val="single"/>
          <w:lang w:val="fr-BE"/>
        </w:rPr>
      </w:pPr>
      <w:r>
        <w:rPr>
          <w:rFonts w:ascii="Calibri" w:hAnsi="Calibri" w:cs="Calibri"/>
          <w:sz w:val="22"/>
          <w:szCs w:val="22"/>
          <w:lang w:val="fr-BE"/>
        </w:rPr>
        <w:t>L’organisation, les frais de déplacement et les frais d’hébergement seront pris en charge par l’opérateur-utilisateur.</w:t>
      </w:r>
    </w:p>
    <w:p>
      <w:pPr>
        <w:shd w:val="clear" w:color="auto" w:fill="FFFFFF"/>
        <w:spacing w:after="120"/>
        <w:jc w:val="both"/>
        <w:rPr>
          <w:rFonts w:ascii="Calibri" w:hAnsi="Calibri" w:cs="Calibri"/>
          <w:b/>
          <w:sz w:val="22"/>
          <w:szCs w:val="22"/>
        </w:rPr>
      </w:pPr>
      <w:r>
        <w:rPr>
          <w:rFonts w:ascii="Calibri" w:hAnsi="Calibri" w:cs="Calibri"/>
          <w:b/>
          <w:sz w:val="22"/>
          <w:szCs w:val="22"/>
        </w:rPr>
        <w:t>Article 8 : Gestion des données personnelles</w:t>
      </w:r>
    </w:p>
    <w:p>
      <w:pPr>
        <w:widowControl w:val="0"/>
        <w:shd w:val="clear" w:color="auto" w:fill="FFFFFF"/>
        <w:tabs>
          <w:tab w:val="left" w:pos="426"/>
        </w:tabs>
        <w:autoSpaceDE w:val="0"/>
        <w:autoSpaceDN w:val="0"/>
        <w:adjustRightInd w:val="0"/>
        <w:spacing w:after="120"/>
        <w:ind w:right="36"/>
        <w:jc w:val="both"/>
        <w:rPr>
          <w:rFonts w:ascii="Calibri" w:hAnsi="Calibri" w:cs="Calibri"/>
          <w:sz w:val="22"/>
          <w:szCs w:val="22"/>
        </w:rPr>
      </w:pPr>
      <w:r>
        <w:rPr>
          <w:rFonts w:ascii="Calibri" w:hAnsi="Calibri" w:cs="Calibri"/>
          <w:sz w:val="22"/>
          <w:szCs w:val="22"/>
        </w:rPr>
        <w:t>Comme mentionné à l’article 4, § 2, 5°, l’opérateur-utilisateur s’engage à fournir au coordonnateur du CTA, au plus tard le premier jour de la formation, une liste complète des stagiaires et des enseignants-formateurs inscrits aux formations. La liste comprendra les noms, prénoms, sexes et dates de naissance de chacun des stagiaires et de chacun des enseignants-formateurs.</w:t>
      </w:r>
    </w:p>
    <w:p>
      <w:pPr>
        <w:widowControl w:val="0"/>
        <w:shd w:val="clear" w:color="auto" w:fill="FFFFFF"/>
        <w:tabs>
          <w:tab w:val="left" w:pos="426"/>
        </w:tabs>
        <w:autoSpaceDE w:val="0"/>
        <w:autoSpaceDN w:val="0"/>
        <w:adjustRightInd w:val="0"/>
        <w:spacing w:after="120"/>
        <w:ind w:right="36"/>
        <w:jc w:val="both"/>
        <w:rPr>
          <w:rFonts w:ascii="Calibri" w:hAnsi="Calibri" w:cs="Calibri"/>
          <w:sz w:val="22"/>
          <w:szCs w:val="22"/>
        </w:rPr>
      </w:pPr>
      <w:r>
        <w:rPr>
          <w:rFonts w:ascii="Calibri" w:hAnsi="Calibri" w:cs="Calibri"/>
          <w:sz w:val="22"/>
          <w:szCs w:val="22"/>
        </w:rPr>
        <w:t>Ces informations sont transmises à l’administration de la Fédération Wallonie-Bruxelles afin de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Calculer la fréquentation annuelle du CTA</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Verser la subvention annuelle octroyée par le Gouvernement de la Fédération Wallonie-Bruxelles</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Vérifier si l’opérateur-utilisateur a droit ou non au remboursement d’éventuels frais de déplacement et/ou d’hébergement</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Transmettre aux Gouvernements des entités fédérées ayant conclu les accords de coopération, ainsi qu’au Fonds européen de développement régional les analyses statistiques prévues réglementairement</w:t>
      </w:r>
    </w:p>
    <w:p>
      <w:pPr>
        <w:spacing w:after="120"/>
        <w:jc w:val="both"/>
        <w:rPr>
          <w:rFonts w:ascii="Calibri" w:hAnsi="Calibri" w:cs="Calibri"/>
          <w:sz w:val="22"/>
          <w:szCs w:val="22"/>
        </w:rPr>
      </w:pPr>
      <w:r>
        <w:rPr>
          <w:rFonts w:ascii="Calibri" w:hAnsi="Calibri" w:cs="Calibri"/>
          <w:sz w:val="22"/>
          <w:szCs w:val="22"/>
        </w:rPr>
        <w:t>Toutes les informations personnelles sont anonymisées avant traitement.</w:t>
      </w:r>
    </w:p>
    <w:p>
      <w:pPr>
        <w:spacing w:after="120"/>
        <w:jc w:val="both"/>
        <w:rPr>
          <w:rFonts w:ascii="Calibri" w:hAnsi="Calibri" w:cs="Calibri"/>
          <w:sz w:val="22"/>
          <w:szCs w:val="22"/>
        </w:rPr>
      </w:pPr>
      <w:r>
        <w:rPr>
          <w:rFonts w:ascii="Calibri" w:hAnsi="Calibri" w:cs="Calibri"/>
          <w:sz w:val="22"/>
          <w:szCs w:val="22"/>
        </w:rPr>
        <w:t>Les données personnelles sont conservées 10 ans au sein de l’administration. Une copie est également conservée au sein du CTA durant la même période.</w:t>
      </w:r>
    </w:p>
    <w:p>
      <w:pPr>
        <w:spacing w:after="120"/>
        <w:jc w:val="both"/>
        <w:rPr>
          <w:rFonts w:ascii="Calibri" w:hAnsi="Calibri" w:cs="Calibri"/>
          <w:sz w:val="22"/>
          <w:szCs w:val="22"/>
        </w:rPr>
      </w:pPr>
      <w:r>
        <w:rPr>
          <w:rFonts w:ascii="Calibri" w:hAnsi="Calibri" w:cs="Calibri"/>
          <w:sz w:val="22"/>
          <w:szCs w:val="22"/>
        </w:rPr>
        <w:t>Aucune donnée n’est utilisée à des fins publicitaires ou commerciales.</w:t>
      </w:r>
    </w:p>
    <w:p>
      <w:pPr>
        <w:spacing w:after="120"/>
        <w:jc w:val="both"/>
        <w:rPr>
          <w:rFonts w:ascii="Calibri" w:hAnsi="Calibri" w:cs="Calibri"/>
          <w:sz w:val="22"/>
          <w:szCs w:val="22"/>
        </w:rPr>
      </w:pPr>
      <w:r>
        <w:rPr>
          <w:rFonts w:ascii="Calibri" w:hAnsi="Calibri" w:cs="Calibri"/>
          <w:sz w:val="22"/>
          <w:szCs w:val="22"/>
        </w:rPr>
        <w:t>Pour toute information complémentaire, il convient de contacter le délégué à la protection des données désigné par le Pouvoir organisateur dont dépend le CTA.</w:t>
      </w:r>
    </w:p>
    <w:p>
      <w:pPr>
        <w:shd w:val="clear" w:color="auto" w:fill="FFFFFF"/>
        <w:spacing w:after="120"/>
        <w:jc w:val="both"/>
        <w:rPr>
          <w:rFonts w:ascii="Calibri" w:hAnsi="Calibri" w:cs="Calibri"/>
          <w:b/>
          <w:sz w:val="22"/>
          <w:szCs w:val="22"/>
        </w:rPr>
      </w:pPr>
      <w:r>
        <w:rPr>
          <w:rFonts w:ascii="Calibri" w:hAnsi="Calibri" w:cs="Calibri"/>
          <w:b/>
          <w:sz w:val="22"/>
          <w:szCs w:val="22"/>
        </w:rPr>
        <w:t>Article 9 : Sanction</w:t>
      </w:r>
    </w:p>
    <w:p>
      <w:pPr>
        <w:shd w:val="clear" w:color="auto" w:fill="FFFFFF"/>
        <w:spacing w:after="240"/>
        <w:ind w:right="34"/>
        <w:jc w:val="both"/>
        <w:rPr>
          <w:rFonts w:ascii="Calibri" w:hAnsi="Calibri" w:cs="Calibri"/>
          <w:sz w:val="22"/>
          <w:szCs w:val="22"/>
        </w:rPr>
      </w:pPr>
      <w:r>
        <w:rPr>
          <w:rFonts w:ascii="Calibri" w:hAnsi="Calibri" w:cs="Calibri"/>
          <w:sz w:val="22"/>
          <w:szCs w:val="22"/>
        </w:rPr>
        <w:t>En cas d’annulation de la formation réservée moins d’une semaine avant le début de celle-ci, un montant équivalent à 50 % du coût total de la formation réservée sera facturée à l’opérateur-utilisateur.</w:t>
      </w:r>
    </w:p>
    <w:p>
      <w:pPr>
        <w:rPr>
          <w:rFonts w:ascii="Calibri" w:hAnsi="Calibri" w:cs="Calibri"/>
          <w:b/>
          <w:bCs/>
          <w:sz w:val="22"/>
          <w:szCs w:val="22"/>
        </w:rPr>
      </w:pPr>
      <w:r>
        <w:rPr>
          <w:rFonts w:ascii="Calibri" w:hAnsi="Calibri" w:cs="Calibri"/>
          <w:b/>
          <w:bCs/>
          <w:sz w:val="22"/>
          <w:szCs w:val="22"/>
        </w:rPr>
        <w:br w:type="page"/>
      </w:r>
    </w:p>
    <w:p>
      <w:pPr>
        <w:shd w:val="clear" w:color="auto" w:fill="FFFFFF"/>
        <w:spacing w:after="120"/>
        <w:outlineLvl w:val="0"/>
        <w:rPr>
          <w:rFonts w:ascii="Calibri" w:hAnsi="Calibri" w:cs="Calibri"/>
          <w:b/>
          <w:bCs/>
          <w:sz w:val="22"/>
          <w:szCs w:val="22"/>
        </w:rPr>
      </w:pPr>
      <w:r>
        <w:rPr>
          <w:rFonts w:ascii="Calibri" w:hAnsi="Calibri" w:cs="Calibri"/>
          <w:b/>
          <w:bCs/>
          <w:sz w:val="22"/>
          <w:szCs w:val="22"/>
        </w:rPr>
        <w:lastRenderedPageBreak/>
        <w:t>Article 10 : Durée de la convention</w:t>
      </w:r>
    </w:p>
    <w:p>
      <w:pPr>
        <w:shd w:val="clear" w:color="auto" w:fill="FFFFFF"/>
        <w:spacing w:after="120"/>
        <w:jc w:val="both"/>
        <w:rPr>
          <w:rFonts w:ascii="Calibri" w:hAnsi="Calibri" w:cs="Calibri"/>
          <w:sz w:val="22"/>
          <w:szCs w:val="22"/>
        </w:rPr>
      </w:pPr>
      <w:r>
        <w:rPr>
          <w:rFonts w:ascii="Calibri" w:hAnsi="Calibri" w:cs="Calibri"/>
          <w:sz w:val="22"/>
          <w:szCs w:val="22"/>
        </w:rPr>
        <w:t>La présente convention est conclue par année scolaire et sera reconduite tacitement l’année scolaire suivante.</w:t>
      </w:r>
    </w:p>
    <w:p>
      <w:pPr>
        <w:shd w:val="clear" w:color="auto" w:fill="FFFFFF"/>
        <w:spacing w:after="120"/>
        <w:jc w:val="both"/>
        <w:rPr>
          <w:rFonts w:ascii="Calibri" w:hAnsi="Calibri" w:cs="Calibri"/>
          <w:sz w:val="22"/>
          <w:szCs w:val="22"/>
        </w:rPr>
      </w:pPr>
      <w:r>
        <w:rPr>
          <w:rFonts w:ascii="Calibri" w:hAnsi="Calibri" w:cs="Calibri"/>
          <w:sz w:val="22"/>
          <w:szCs w:val="22"/>
        </w:rPr>
        <w:t>Elle pourra être dénoncée à la demande d’une des parties, moyennant un préavis de trois mois via l’envoi d’un recommandé.</w:t>
      </w:r>
    </w:p>
    <w:p>
      <w:pPr>
        <w:shd w:val="clear" w:color="auto" w:fill="FFFFFF"/>
        <w:tabs>
          <w:tab w:val="left" w:leader="dot" w:pos="2023"/>
        </w:tabs>
        <w:spacing w:after="120"/>
        <w:jc w:val="both"/>
        <w:rPr>
          <w:rFonts w:ascii="Calibri" w:hAnsi="Calibri" w:cs="Calibri"/>
          <w:sz w:val="22"/>
          <w:szCs w:val="22"/>
        </w:rPr>
      </w:pPr>
    </w:p>
    <w:p>
      <w:pPr>
        <w:shd w:val="clear" w:color="auto" w:fill="FFFFFF"/>
        <w:tabs>
          <w:tab w:val="left" w:leader="dot" w:pos="2023"/>
        </w:tabs>
        <w:spacing w:after="120"/>
        <w:jc w:val="both"/>
        <w:rPr>
          <w:rFonts w:ascii="Calibri" w:hAnsi="Calibri" w:cs="Calibri"/>
          <w:sz w:val="22"/>
          <w:szCs w:val="22"/>
        </w:rPr>
      </w:pPr>
    </w:p>
    <w:p>
      <w:pPr>
        <w:shd w:val="clear" w:color="auto" w:fill="FFFFFF"/>
        <w:tabs>
          <w:tab w:val="left" w:leader="dot" w:pos="2023"/>
        </w:tabs>
        <w:spacing w:after="120"/>
        <w:jc w:val="both"/>
        <w:rPr>
          <w:rFonts w:ascii="Calibri" w:hAnsi="Calibri" w:cs="Calibri"/>
          <w:sz w:val="22"/>
          <w:szCs w:val="22"/>
        </w:rPr>
      </w:pPr>
      <w:r>
        <w:rPr>
          <w:rFonts w:ascii="Calibri" w:hAnsi="Calibri" w:cs="Calibri"/>
          <w:sz w:val="22"/>
          <w:szCs w:val="22"/>
        </w:rPr>
        <w:t>Fait le ..…/..…/20..… en 2 exemplaires signés respectivement par chacune des parties.</w:t>
      </w:r>
    </w:p>
    <w:p>
      <w:pPr>
        <w:tabs>
          <w:tab w:val="left" w:pos="0"/>
          <w:tab w:val="right" w:pos="9000"/>
        </w:tabs>
        <w:suppressAutoHyphens/>
        <w:spacing w:after="120"/>
        <w:rPr>
          <w:rFonts w:ascii="Calibri" w:hAnsi="Calibri" w:cs="Calibri"/>
          <w:sz w:val="22"/>
          <w:szCs w:val="22"/>
        </w:rPr>
      </w:pPr>
    </w:p>
    <w:p>
      <w:pPr>
        <w:tabs>
          <w:tab w:val="left" w:pos="0"/>
          <w:tab w:val="right" w:pos="9000"/>
        </w:tabs>
        <w:suppressAutoHyphens/>
        <w:spacing w:after="120"/>
        <w:rPr>
          <w:rFonts w:ascii="Calibri" w:hAnsi="Calibri" w:cs="Calibri"/>
          <w:sz w:val="22"/>
          <w:szCs w:val="22"/>
        </w:rPr>
      </w:pPr>
    </w:p>
    <w:p>
      <w:pPr>
        <w:tabs>
          <w:tab w:val="left" w:pos="0"/>
          <w:tab w:val="right" w:pos="9000"/>
        </w:tabs>
        <w:suppressAutoHyphens/>
        <w:spacing w:after="120"/>
        <w:rPr>
          <w:rFonts w:ascii="Calibri" w:hAnsi="Calibri" w:cs="Calibri"/>
          <w:sz w:val="22"/>
          <w:szCs w:val="22"/>
        </w:rPr>
      </w:pPr>
    </w:p>
    <w:p>
      <w:pPr>
        <w:tabs>
          <w:tab w:val="left" w:pos="0"/>
          <w:tab w:val="right" w:pos="9000"/>
        </w:tabs>
        <w:suppressAutoHyphens/>
        <w:spacing w:after="120"/>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19"/>
        <w:gridCol w:w="4709"/>
      </w:tblGrid>
      <w:tr>
        <w:trPr>
          <w:trHeight w:val="2672"/>
        </w:trPr>
        <w:tc>
          <w:tcPr>
            <w:tcW w:w="4219" w:type="dxa"/>
          </w:tcPr>
          <w:p>
            <w:pPr>
              <w:tabs>
                <w:tab w:val="left" w:pos="0"/>
                <w:tab w:val="right" w:pos="9000"/>
              </w:tabs>
              <w:suppressAutoHyphens/>
              <w:spacing w:after="120"/>
              <w:jc w:val="center"/>
              <w:rPr>
                <w:rFonts w:ascii="Calibri" w:hAnsi="Calibri" w:cs="Calibri"/>
                <w:sz w:val="22"/>
                <w:szCs w:val="22"/>
              </w:rPr>
            </w:pPr>
          </w:p>
          <w:p>
            <w:pPr>
              <w:tabs>
                <w:tab w:val="left" w:pos="0"/>
                <w:tab w:val="right" w:pos="9000"/>
              </w:tabs>
              <w:suppressAutoHyphens/>
              <w:spacing w:after="120"/>
              <w:jc w:val="center"/>
              <w:rPr>
                <w:rFonts w:ascii="Calibri" w:hAnsi="Calibri" w:cs="Calibri"/>
                <w:sz w:val="22"/>
                <w:szCs w:val="22"/>
              </w:rPr>
            </w:pPr>
            <w:r>
              <w:rPr>
                <w:rFonts w:ascii="Calibri" w:hAnsi="Calibri" w:cs="Calibri"/>
                <w:sz w:val="22"/>
                <w:szCs w:val="22"/>
              </w:rPr>
              <w:t>Pour le CTA,</w:t>
            </w:r>
          </w:p>
          <w:p>
            <w:pPr>
              <w:tabs>
                <w:tab w:val="left" w:pos="0"/>
                <w:tab w:val="right" w:pos="9000"/>
              </w:tabs>
              <w:suppressAutoHyphens/>
              <w:spacing w:after="120"/>
              <w:jc w:val="center"/>
              <w:rPr>
                <w:rFonts w:ascii="Calibri" w:hAnsi="Calibri" w:cs="Calibri"/>
                <w:sz w:val="22"/>
                <w:szCs w:val="22"/>
              </w:rPr>
            </w:pPr>
          </w:p>
          <w:p>
            <w:pPr>
              <w:tabs>
                <w:tab w:val="left" w:pos="0"/>
                <w:tab w:val="right" w:pos="9000"/>
              </w:tabs>
              <w:suppressAutoHyphens/>
              <w:spacing w:after="120"/>
              <w:jc w:val="center"/>
              <w:rPr>
                <w:rFonts w:ascii="Calibri" w:hAnsi="Calibri" w:cs="Calibri"/>
                <w:sz w:val="22"/>
                <w:szCs w:val="22"/>
              </w:rPr>
            </w:pPr>
            <w:r>
              <w:rPr>
                <w:rFonts w:ascii="Calibri" w:hAnsi="Calibri" w:cs="Calibri"/>
                <w:sz w:val="22"/>
                <w:szCs w:val="22"/>
              </w:rPr>
              <w:t>Nom et qualité du signataire :</w:t>
            </w:r>
          </w:p>
          <w:p>
            <w:pPr>
              <w:tabs>
                <w:tab w:val="left" w:pos="0"/>
                <w:tab w:val="right" w:pos="9000"/>
              </w:tabs>
              <w:suppressAutoHyphens/>
              <w:spacing w:after="120"/>
              <w:rPr>
                <w:rFonts w:ascii="Calibri" w:hAnsi="Calibri" w:cs="Calibri"/>
                <w:sz w:val="22"/>
                <w:szCs w:val="22"/>
              </w:rPr>
            </w:pPr>
          </w:p>
        </w:tc>
        <w:tc>
          <w:tcPr>
            <w:tcW w:w="4709" w:type="dxa"/>
          </w:tcPr>
          <w:p>
            <w:pPr>
              <w:shd w:val="clear" w:color="auto" w:fill="FFFFFF"/>
              <w:spacing w:after="120"/>
              <w:jc w:val="center"/>
              <w:rPr>
                <w:rFonts w:ascii="Calibri" w:hAnsi="Calibri" w:cs="Calibri"/>
                <w:sz w:val="22"/>
                <w:szCs w:val="22"/>
              </w:rPr>
            </w:pPr>
          </w:p>
          <w:p>
            <w:pPr>
              <w:shd w:val="clear" w:color="auto" w:fill="FFFFFF"/>
              <w:spacing w:after="120"/>
              <w:jc w:val="center"/>
              <w:rPr>
                <w:rFonts w:ascii="Calibri" w:hAnsi="Calibri" w:cs="Calibri"/>
                <w:sz w:val="22"/>
                <w:szCs w:val="22"/>
              </w:rPr>
            </w:pPr>
            <w:r>
              <w:rPr>
                <w:rFonts w:ascii="Calibri" w:hAnsi="Calibri" w:cs="Calibri"/>
                <w:sz w:val="22"/>
                <w:szCs w:val="22"/>
              </w:rPr>
              <w:t>Pour l’opérateur-utilisateur,</w:t>
            </w:r>
          </w:p>
          <w:p>
            <w:pPr>
              <w:shd w:val="clear" w:color="auto" w:fill="FFFFFF"/>
              <w:spacing w:after="120"/>
              <w:jc w:val="center"/>
              <w:rPr>
                <w:rFonts w:ascii="Calibri" w:hAnsi="Calibri" w:cs="Calibri"/>
                <w:sz w:val="22"/>
                <w:szCs w:val="22"/>
              </w:rPr>
            </w:pPr>
          </w:p>
          <w:p>
            <w:pPr>
              <w:shd w:val="clear" w:color="auto" w:fill="FFFFFF"/>
              <w:spacing w:after="120"/>
              <w:jc w:val="center"/>
              <w:rPr>
                <w:rFonts w:ascii="Calibri" w:hAnsi="Calibri" w:cs="Calibri"/>
                <w:sz w:val="22"/>
                <w:szCs w:val="22"/>
              </w:rPr>
            </w:pPr>
            <w:r>
              <w:rPr>
                <w:rFonts w:ascii="Calibri" w:hAnsi="Calibri" w:cs="Calibri"/>
                <w:sz w:val="22"/>
                <w:szCs w:val="22"/>
              </w:rPr>
              <w:t>Nom et qualité du signataire :</w:t>
            </w:r>
          </w:p>
          <w:p>
            <w:pPr>
              <w:tabs>
                <w:tab w:val="left" w:pos="0"/>
                <w:tab w:val="right" w:pos="9000"/>
              </w:tabs>
              <w:suppressAutoHyphens/>
              <w:spacing w:after="120"/>
              <w:rPr>
                <w:rFonts w:ascii="Calibri" w:hAnsi="Calibri" w:cs="Calibri"/>
                <w:sz w:val="22"/>
                <w:szCs w:val="22"/>
              </w:rPr>
            </w:pPr>
          </w:p>
        </w:tc>
      </w:tr>
    </w:tbl>
    <w:p>
      <w:pPr>
        <w:shd w:val="clear" w:color="auto" w:fill="FFFFFF"/>
        <w:spacing w:after="120"/>
        <w:rPr>
          <w:rFonts w:ascii="Calibri" w:hAnsi="Calibri" w:cs="Calibri"/>
          <w:b/>
          <w:bCs/>
          <w:sz w:val="22"/>
          <w:szCs w:val="22"/>
          <w:u w:val="single"/>
        </w:rPr>
      </w:pPr>
    </w:p>
    <w:p>
      <w:pPr>
        <w:pBdr>
          <w:top w:val="single" w:sz="4" w:space="1" w:color="auto"/>
          <w:left w:val="single" w:sz="4" w:space="4" w:color="auto"/>
          <w:bottom w:val="single" w:sz="4" w:space="1" w:color="auto"/>
          <w:right w:val="single" w:sz="4" w:space="4" w:color="auto"/>
        </w:pBdr>
        <w:shd w:val="clear" w:color="auto" w:fill="FFFFFF"/>
        <w:spacing w:after="120"/>
        <w:jc w:val="center"/>
        <w:rPr>
          <w:rFonts w:ascii="Calibri" w:hAnsi="Calibri" w:cs="Calibri"/>
          <w:b/>
          <w:smallCaps/>
          <w:sz w:val="22"/>
          <w:szCs w:val="22"/>
        </w:rPr>
      </w:pPr>
      <w:r>
        <w:rPr>
          <w:rFonts w:ascii="Calibri" w:hAnsi="Calibri" w:cs="Calibri"/>
          <w:b/>
          <w:bCs/>
          <w:sz w:val="22"/>
          <w:szCs w:val="22"/>
          <w:u w:val="single"/>
        </w:rPr>
        <w:br w:type="page"/>
      </w:r>
      <w:r>
        <w:rPr>
          <w:rFonts w:ascii="Calibri" w:hAnsi="Calibri" w:cs="Calibri"/>
          <w:caps/>
          <w:noProof/>
          <w:sz w:val="22"/>
          <w:szCs w:val="22"/>
          <w:lang w:eastAsia="fr-BE"/>
        </w:rPr>
        <w:lastRenderedPageBreak/>
        <mc:AlternateContent>
          <mc:Choice Requires="wps">
            <w:drawing>
              <wp:anchor distT="0" distB="0" distL="114299" distR="114299" simplePos="0" relativeHeight="251639808" behindDoc="0" locked="0" layoutInCell="1" allowOverlap="1">
                <wp:simplePos x="0" y="0"/>
                <wp:positionH relativeFrom="margin">
                  <wp:posOffset>-1600201</wp:posOffset>
                </wp:positionH>
                <wp:positionV relativeFrom="paragraph">
                  <wp:posOffset>176530</wp:posOffset>
                </wp:positionV>
                <wp:extent cx="0" cy="626110"/>
                <wp:effectExtent l="0" t="0" r="19050" b="21590"/>
                <wp:wrapNone/>
                <wp:docPr id="105"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611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39808;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126pt,13.9pt" to="-126pt,6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I1pEwIAACoEAAAOAAAAZHJzL2Uyb0RvYy54bWysU8GO2yAQvVfqPyDuie2sN81acVaVnfSS&#10;tpF2+wEEcIyKAQGJE1X99w7YibLtparqAx5g5s2becPy+dxJdOLWCa1KnE1TjLiimgl1KPG3181k&#10;gZHzRDEiteIlvnCHn1fv3y17U/CZbrVk3CIAUa7oTYlb702RJI62vCNuqg1XcNlo2xEPW3tImCU9&#10;oHcymaXpPOm1ZcZqyp2D03q4xKuI3zSc+q9N47hHssTAzcfVxnUf1mS1JMXBEtMKOtIg/8CiI0JB&#10;0htUTTxBRyv+gOoEtdrpxk+p7hLdNILyWANUk6W/VfPSEsNjLdAcZ25tcv8Pln457SwSDLRLHzFS&#10;pAORtkJxlIfe9MYV4FKpnQ3V0bN6MVtNvzukdNUSdeCR4+vFQFgWIpI3IWHjDGTY9581Ax9y9Do2&#10;6tzYLkBCC9A56nG56cHPHtHhkMLpfDbPsihVQoprnLHOf+K6Q8EosQTKEZects4HHqS4uoQ0Sm+E&#10;lFFtqVAPZLP8IY0RTkvBwm3wc/awr6RFJxIGJn6xKri5d7P6qFhEazlh69H2RMjBhuxSBTwoBfiM&#10;1jARP57Sp/Vivcgn+Wy+nuRpXU8+bqp8Mt9kHx7rh7qq6uxnoJblRSsY4yqwu05nlv+d+uM7Gebq&#10;Np+3PiRv0WPDgOz1H0lHLYN8wyDsNbvs7FVjGMjoPD6eMPH3e7Dvn/jqFwAAAP//AwBQSwMEFAAG&#10;AAgAAAAhAIFCC8beAAAADAEAAA8AAABkcnMvZG93bnJldi54bWxMj8FOwzAMhu9IvENkJG5bSrQV&#10;KE0nhMSNyzYklFvWmLa0caom27q3x0hIcLT96ff3l5vZD+KEU+wCabhbZiCQ6uA6ajS8718XDyBi&#10;suTsEAg1XDDCprq+Km3hwpm2eNqlRnAIxcJqaFMaCylj3aK3cRlGJL59hsnbxOPUSDfZM4f7Qaos&#10;y6W3HfGH1o740mLd745eQ3bpTexzYx6/3DbsP8z6rVsZrW9v5ucnEAnn9AfDjz6rQ8VOh3AkF8Wg&#10;YaHWisskDeqeOzDxuzkwq/IVyKqU/0tU3wAAAP//AwBQSwECLQAUAAYACAAAACEAtoM4kv4AAADh&#10;AQAAEwAAAAAAAAAAAAAAAAAAAAAAW0NvbnRlbnRfVHlwZXNdLnhtbFBLAQItABQABgAIAAAAIQA4&#10;/SH/1gAAAJQBAAALAAAAAAAAAAAAAAAAAC8BAABfcmVscy8ucmVsc1BLAQItABQABgAIAAAAIQDR&#10;yI1pEwIAACoEAAAOAAAAAAAAAAAAAAAAAC4CAABkcnMvZTJvRG9jLnhtbFBLAQItABQABgAIAAAA&#10;IQCBQgvG3gAAAAwBAAAPAAAAAAAAAAAAAAAAAG0EAABkcnMvZG93bnJldi54bWxQSwUGAAAAAAQA&#10;BADzAAAAeAUAAAAA&#10;" strokeweight=".9pt">
                <w10:wrap anchorx="margin"/>
              </v:line>
            </w:pict>
          </mc:Fallback>
        </mc:AlternateContent>
      </w:r>
      <w:r>
        <w:rPr>
          <w:rFonts w:ascii="Calibri" w:hAnsi="Calibri" w:cs="Calibri"/>
          <w:b/>
          <w:bCs/>
          <w:caps/>
          <w:sz w:val="22"/>
          <w:szCs w:val="22"/>
        </w:rPr>
        <w:t xml:space="preserve">Convention spécifique DE COLLABORATION entre les Centres de Technologies Avancées et les opérateurs-utilisateurs </w:t>
      </w:r>
      <w:r>
        <w:rPr>
          <w:rFonts w:ascii="Calibri" w:hAnsi="Calibri" w:cs="Calibri"/>
          <w:b/>
          <w:bCs/>
          <w:smallCaps/>
          <w:sz w:val="22"/>
          <w:szCs w:val="22"/>
        </w:rPr>
        <w:t xml:space="preserve">ISSUS DES </w:t>
      </w:r>
      <w:r>
        <w:rPr>
          <w:rFonts w:ascii="Calibri" w:hAnsi="Calibri" w:cs="Calibri"/>
          <w:b/>
          <w:smallCaps/>
          <w:sz w:val="22"/>
          <w:szCs w:val="22"/>
        </w:rPr>
        <w:t>ETABLISSEMENTS D’ENSEIGNEMENT SUPERIEUR</w:t>
      </w:r>
    </w:p>
    <w:p>
      <w:pPr>
        <w:shd w:val="clear" w:color="auto" w:fill="FFFFFF"/>
        <w:tabs>
          <w:tab w:val="left" w:leader="underscore" w:pos="2347"/>
          <w:tab w:val="left" w:leader="underscore" w:pos="8467"/>
        </w:tabs>
        <w:spacing w:after="120"/>
        <w:jc w:val="both"/>
        <w:rPr>
          <w:rFonts w:ascii="Calibri" w:hAnsi="Calibri" w:cs="Calibri"/>
          <w:b/>
          <w:sz w:val="22"/>
          <w:szCs w:val="22"/>
        </w:rPr>
      </w:pPr>
    </w:p>
    <w:p>
      <w:pPr>
        <w:shd w:val="clear" w:color="auto" w:fill="FFFFFF"/>
        <w:tabs>
          <w:tab w:val="left" w:leader="underscore" w:pos="2347"/>
          <w:tab w:val="left" w:leader="underscore" w:pos="8467"/>
        </w:tabs>
        <w:spacing w:after="120"/>
        <w:jc w:val="both"/>
        <w:rPr>
          <w:rFonts w:ascii="Calibri" w:hAnsi="Calibri" w:cs="Calibri"/>
          <w:b/>
          <w:sz w:val="22"/>
          <w:szCs w:val="22"/>
        </w:rPr>
      </w:pPr>
      <w:r>
        <w:rPr>
          <w:rFonts w:ascii="Calibri" w:hAnsi="Calibri" w:cs="Calibri"/>
          <w:b/>
          <w:sz w:val="22"/>
          <w:szCs w:val="22"/>
        </w:rPr>
        <w:t>Cette convention spécifique n’est valable que pour autant qu’elle soit accompagnée de la convention générale signée par les partenaires.</w:t>
      </w:r>
    </w:p>
    <w:p>
      <w:pPr>
        <w:shd w:val="clear" w:color="auto" w:fill="FFFFFF"/>
        <w:tabs>
          <w:tab w:val="left" w:leader="underscore" w:pos="2347"/>
          <w:tab w:val="left" w:leader="underscore" w:pos="8467"/>
        </w:tabs>
        <w:spacing w:after="120"/>
        <w:jc w:val="both"/>
        <w:rPr>
          <w:rFonts w:ascii="Calibri" w:hAnsi="Calibri" w:cs="Calibri"/>
          <w:b/>
          <w:sz w:val="22"/>
          <w:szCs w:val="22"/>
        </w:rPr>
      </w:pPr>
    </w:p>
    <w:p>
      <w:pPr>
        <w:pBdr>
          <w:top w:val="single" w:sz="8" w:space="1" w:color="auto"/>
          <w:left w:val="single" w:sz="8" w:space="4" w:color="auto"/>
          <w:bottom w:val="single" w:sz="8" w:space="1" w:color="auto"/>
          <w:right w:val="single" w:sz="8" w:space="4" w:color="auto"/>
        </w:pBdr>
        <w:shd w:val="clear" w:color="auto" w:fill="FFFFFF"/>
        <w:spacing w:after="120"/>
        <w:outlineLvl w:val="0"/>
        <w:rPr>
          <w:rFonts w:ascii="Calibri" w:hAnsi="Calibri" w:cs="Calibri"/>
          <w:b/>
          <w:caps/>
          <w:sz w:val="22"/>
          <w:szCs w:val="22"/>
        </w:rPr>
      </w:pPr>
      <w:r>
        <w:rPr>
          <w:rFonts w:ascii="Calibri" w:hAnsi="Calibri" w:cs="Calibri"/>
          <w:noProof/>
          <w:sz w:val="22"/>
          <w:szCs w:val="22"/>
          <w:lang w:eastAsia="fr-BE"/>
        </w:rPr>
        <mc:AlternateContent>
          <mc:Choice Requires="wps">
            <w:drawing>
              <wp:anchor distT="0" distB="0" distL="114299" distR="114299" simplePos="0" relativeHeight="251640832" behindDoc="0" locked="0" layoutInCell="1" allowOverlap="1">
                <wp:simplePos x="0" y="0"/>
                <wp:positionH relativeFrom="margin">
                  <wp:posOffset>-1752601</wp:posOffset>
                </wp:positionH>
                <wp:positionV relativeFrom="paragraph">
                  <wp:posOffset>271780</wp:posOffset>
                </wp:positionV>
                <wp:extent cx="0" cy="240030"/>
                <wp:effectExtent l="0" t="0" r="19050" b="26670"/>
                <wp:wrapNone/>
                <wp:docPr id="104"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003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40832;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138pt,21.4pt" to="-138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mXEQIAACoEAAAOAAAAZHJzL2Uyb0RvYy54bWysU8GO2yAQvVfqPyDuie2sm81acVaVnfSS&#10;diPt9gMI4BgVAwISJ6r67x2wE+1uL1VVH/AMMzzezBuWj+dOohO3TmhV4myaYsQV1UyoQ4m/v2wm&#10;C4ycJ4oRqRUv8YU7/Lj6+GHZm4LPdKsl4xYBiHJFb0rcem+KJHG05R1xU224gmCjbUc8uPaQMEt6&#10;QO9kMkvTedJry4zVlDsHu/UQxKuI3zSc+qemcdwjWWLg5uNq47oPa7JakuJgiWkFHWmQf2DREaHg&#10;0htUTTxBRyv+gOoEtdrpxk+p7hLdNILyWANUk6XvqnluieGxFmiOM7c2uf8HS7+ddhYJBtqlOUaK&#10;dCDSViiO7kNveuMKSKnUzobq6Fk9m62mPxxSumqJOvDI8eVi4FgWTiRvjgTHGbhh33/VDHLI0evY&#10;qHNjuwAJLUDnqMflpgc/e0SHTQq7szxN76JUCSmu54x1/gvXHQpGiSVQjrjktHU+8CDFNSVco/RG&#10;SBnVlgr1QDbLATOEnJaChWh07GFfSYtOJAxM/GJV79KsPioW0VpO2Hq0PRFysOF2qQIelAJ8RmuY&#10;iJ8P6cN6sV7kk3w2X0/ytK4nnzdVPplvsvtP9V1dVXX2K1DL8qIVjHEV2F2nM8v/Tv3xnQxzdZvP&#10;Wx+St+ixYUD2+o+ko5ZBvmEQ9ppddvaqMQxkTB4fT5j41z7Yr5/46jcAAAD//wMAUEsDBBQABgAI&#10;AAAAIQBq6mII3gAAAAsBAAAPAAAAZHJzL2Rvd25yZXYueG1sTI/BTsMwDIbvSLxDZCRuW0I1yih1&#10;J4TEjcs2JJRb1pi2tEmqJtu6t8dISHC0/ev395Wb2Q3iRFPsgke4WyoQ5OtgO98gvO9fF2sQMRlv&#10;zRA8IVwowqa6vipNYcPZb+m0S43gEh8Lg9CmNBZSxrolZ+IyjOT59hkmZxKPUyPtZM5c7gaZKZVL&#10;ZzrPH1oz0ktLdb87OgR16XXsc60fv+w27D/0/Vu30oi3N/PzE4hEc/oLww8+o0PFTIdw9DaKAWGR&#10;PeQskxBWGTtw4ndzQFirHGRVyv8O1TcAAAD//wMAUEsBAi0AFAAGAAgAAAAhALaDOJL+AAAA4QEA&#10;ABMAAAAAAAAAAAAAAAAAAAAAAFtDb250ZW50X1R5cGVzXS54bWxQSwECLQAUAAYACAAAACEAOP0h&#10;/9YAAACUAQAACwAAAAAAAAAAAAAAAAAvAQAAX3JlbHMvLnJlbHNQSwECLQAUAAYACAAAACEAvPpJ&#10;lxECAAAqBAAADgAAAAAAAAAAAAAAAAAuAgAAZHJzL2Uyb0RvYy54bWxQSwECLQAUAAYACAAAACEA&#10;aupiCN4AAAALAQAADwAAAAAAAAAAAAAAAABrBAAAZHJzL2Rvd25yZXYueG1sUEsFBgAAAAAEAAQA&#10;8wAAAHYFAAAAAA==&#10;" strokeweight=".9pt">
                <w10:wrap anchorx="margin"/>
              </v:line>
            </w:pict>
          </mc:Fallback>
        </mc:AlternateContent>
      </w:r>
      <w:r>
        <w:rPr>
          <w:rFonts w:ascii="Calibri" w:hAnsi="Calibri" w:cs="Calibri"/>
          <w:b/>
          <w:caps/>
          <w:sz w:val="22"/>
          <w:szCs w:val="22"/>
        </w:rPr>
        <w:t>Centre de Technologies Avancées</w:t>
      </w:r>
    </w:p>
    <w:p>
      <w:pPr>
        <w:shd w:val="clear" w:color="auto" w:fill="FFFFFF"/>
        <w:spacing w:after="120"/>
        <w:rPr>
          <w:rFonts w:ascii="Calibri" w:hAnsi="Calibri" w:cs="Calibri"/>
          <w:sz w:val="22"/>
          <w:szCs w:val="22"/>
        </w:rPr>
      </w:pPr>
      <w:r>
        <w:rPr>
          <w:rFonts w:ascii="Calibri" w:hAnsi="Calibri" w:cs="Calibri"/>
          <w:sz w:val="22"/>
          <w:szCs w:val="22"/>
        </w:rPr>
        <w:t>Nom de l’institution :</w:t>
      </w:r>
    </w:p>
    <w:p>
      <w:pPr>
        <w:shd w:val="clear" w:color="auto" w:fill="FFFFFF"/>
        <w:spacing w:after="120"/>
        <w:rPr>
          <w:rFonts w:ascii="Calibri" w:hAnsi="Calibri" w:cs="Calibri"/>
          <w:sz w:val="22"/>
          <w:szCs w:val="22"/>
        </w:rPr>
      </w:pPr>
      <w:r>
        <w:rPr>
          <w:rFonts w:ascii="Calibri" w:hAnsi="Calibri" w:cs="Calibri"/>
          <w:sz w:val="22"/>
          <w:szCs w:val="22"/>
        </w:rPr>
        <w:t>Adresse :</w:t>
      </w:r>
    </w:p>
    <w:p>
      <w:pPr>
        <w:shd w:val="clear" w:color="auto" w:fill="FFFFFF"/>
        <w:spacing w:after="120"/>
        <w:rPr>
          <w:rFonts w:ascii="Calibri" w:hAnsi="Calibri" w:cs="Calibri"/>
          <w:sz w:val="22"/>
          <w:szCs w:val="22"/>
        </w:rPr>
      </w:pPr>
      <w:r>
        <w:rPr>
          <w:rFonts w:ascii="Calibri" w:hAnsi="Calibri" w:cs="Calibri"/>
          <w:sz w:val="22"/>
          <w:szCs w:val="22"/>
        </w:rPr>
        <w:t>Personne de contact :</w:t>
      </w:r>
    </w:p>
    <w:p>
      <w:pPr>
        <w:shd w:val="clear" w:color="auto" w:fill="FFFFFF"/>
        <w:tabs>
          <w:tab w:val="left" w:pos="4100"/>
        </w:tabs>
        <w:spacing w:after="120"/>
        <w:rPr>
          <w:rFonts w:ascii="Calibri" w:hAnsi="Calibri" w:cs="Calibri"/>
          <w:sz w:val="22"/>
          <w:szCs w:val="22"/>
        </w:rPr>
      </w:pPr>
      <w:r>
        <w:rPr>
          <w:rFonts w:ascii="Calibri" w:hAnsi="Calibri" w:cs="Calibri"/>
          <w:sz w:val="22"/>
          <w:szCs w:val="22"/>
        </w:rPr>
        <w:t>Téléphone :</w:t>
      </w:r>
      <w:r>
        <w:rPr>
          <w:rFonts w:ascii="Calibri" w:hAnsi="Calibri" w:cs="Calibri"/>
          <w:sz w:val="22"/>
          <w:szCs w:val="22"/>
        </w:rPr>
        <w:tab/>
        <w:t>Fax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OPERATEUR-UTILISATEUR</w:t>
      </w:r>
    </w:p>
    <w:p>
      <w:pPr>
        <w:shd w:val="clear" w:color="auto" w:fill="FFFFFF"/>
        <w:spacing w:after="120"/>
        <w:rPr>
          <w:rFonts w:ascii="Calibri" w:hAnsi="Calibri" w:cs="Calibri"/>
          <w:sz w:val="22"/>
          <w:szCs w:val="22"/>
        </w:rPr>
      </w:pPr>
      <w:r>
        <w:rPr>
          <w:rFonts w:ascii="Calibri" w:hAnsi="Calibri" w:cs="Calibri"/>
          <w:sz w:val="22"/>
          <w:szCs w:val="22"/>
        </w:rPr>
        <w:t>Nom de l'institution :</w:t>
      </w:r>
    </w:p>
    <w:p>
      <w:pPr>
        <w:shd w:val="clear" w:color="auto" w:fill="FFFFFF"/>
        <w:spacing w:after="120"/>
        <w:rPr>
          <w:rFonts w:ascii="Calibri" w:hAnsi="Calibri" w:cs="Calibri"/>
          <w:sz w:val="22"/>
          <w:szCs w:val="22"/>
        </w:rPr>
      </w:pPr>
      <w:r>
        <w:rPr>
          <w:rFonts w:ascii="Calibri" w:hAnsi="Calibri" w:cs="Calibri"/>
          <w:sz w:val="22"/>
          <w:szCs w:val="22"/>
        </w:rPr>
        <w:t>Adresse :</w:t>
      </w:r>
    </w:p>
    <w:p>
      <w:pPr>
        <w:shd w:val="clear" w:color="auto" w:fill="FFFFFF"/>
        <w:spacing w:after="120"/>
        <w:rPr>
          <w:rFonts w:ascii="Calibri" w:hAnsi="Calibri" w:cs="Calibri"/>
          <w:sz w:val="22"/>
          <w:szCs w:val="22"/>
        </w:rPr>
      </w:pPr>
      <w:r>
        <w:rPr>
          <w:rFonts w:ascii="Calibri" w:hAnsi="Calibri" w:cs="Calibri"/>
          <w:sz w:val="22"/>
          <w:szCs w:val="22"/>
        </w:rPr>
        <w:t>Personne de contact :</w:t>
      </w:r>
    </w:p>
    <w:p>
      <w:pPr>
        <w:shd w:val="clear" w:color="auto" w:fill="FFFFFF"/>
        <w:tabs>
          <w:tab w:val="left" w:pos="4097"/>
        </w:tabs>
        <w:spacing w:after="120"/>
        <w:rPr>
          <w:rFonts w:ascii="Calibri" w:hAnsi="Calibri" w:cs="Calibri"/>
          <w:sz w:val="22"/>
          <w:szCs w:val="22"/>
        </w:rPr>
      </w:pPr>
      <w:r>
        <w:rPr>
          <w:rFonts w:ascii="Calibri" w:hAnsi="Calibri" w:cs="Calibri"/>
          <w:sz w:val="22"/>
          <w:szCs w:val="22"/>
        </w:rPr>
        <w:t>Téléphone :</w:t>
      </w:r>
      <w:r>
        <w:rPr>
          <w:rFonts w:ascii="Calibri" w:hAnsi="Calibri" w:cs="Calibri"/>
          <w:sz w:val="22"/>
          <w:szCs w:val="22"/>
        </w:rPr>
        <w:tab/>
        <w:t>Fax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 xml:space="preserve">INTITULE DE </w:t>
      </w:r>
      <w:smartTag w:uri="urn:schemas-microsoft-com:office:smarttags" w:element="PersonName">
        <w:smartTagPr>
          <w:attr w:name="ProductID" w:val="LA FORMATION"/>
        </w:smartTagPr>
        <w:r>
          <w:rPr>
            <w:rFonts w:ascii="Calibri" w:hAnsi="Calibri" w:cs="Calibri"/>
            <w:b/>
            <w:bCs/>
            <w:sz w:val="22"/>
            <w:szCs w:val="22"/>
          </w:rPr>
          <w:t>LA FORMATION</w:t>
        </w:r>
      </w:smartTag>
    </w:p>
    <w:p>
      <w:pPr>
        <w:shd w:val="clear" w:color="auto" w:fill="FFFFFF"/>
        <w:spacing w:after="120"/>
        <w:ind w:right="5443"/>
        <w:rPr>
          <w:rFonts w:ascii="Calibri" w:hAnsi="Calibri" w:cs="Calibri"/>
          <w:sz w:val="22"/>
          <w:szCs w:val="22"/>
        </w:rPr>
      </w:pPr>
      <w:r>
        <w:rPr>
          <w:rFonts w:ascii="Calibri" w:hAnsi="Calibri" w:cs="Calibri"/>
          <w:sz w:val="22"/>
          <w:szCs w:val="22"/>
        </w:rPr>
        <w:t>Durée (en jours de formation) :</w:t>
      </w:r>
    </w:p>
    <w:p>
      <w:pPr>
        <w:shd w:val="clear" w:color="auto" w:fill="FFFFFF"/>
        <w:spacing w:after="120"/>
        <w:ind w:right="5443"/>
        <w:rPr>
          <w:rFonts w:ascii="Calibri" w:hAnsi="Calibri" w:cs="Calibri"/>
          <w:sz w:val="22"/>
          <w:szCs w:val="22"/>
        </w:rPr>
      </w:pPr>
      <w:r>
        <w:rPr>
          <w:rFonts w:ascii="Calibri" w:hAnsi="Calibri" w:cs="Calibri"/>
          <w:sz w:val="22"/>
          <w:szCs w:val="22"/>
        </w:rPr>
        <w:t>Nombre d'heures de théorie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Nombre d'heures de pratique :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Date(s) :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Horaire :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PARTICIPANTS</w:t>
      </w:r>
    </w:p>
    <w:p>
      <w:pPr>
        <w:tabs>
          <w:tab w:val="left" w:pos="4860"/>
        </w:tabs>
        <w:spacing w:after="120"/>
        <w:jc w:val="both"/>
        <w:rPr>
          <w:rFonts w:ascii="Calibri" w:hAnsi="Calibri" w:cs="Calibri"/>
          <w:sz w:val="22"/>
          <w:szCs w:val="22"/>
        </w:rPr>
      </w:pPr>
      <w:r>
        <w:rPr>
          <w:rFonts w:ascii="Calibri" w:hAnsi="Calibri" w:cs="Calibri"/>
          <w:sz w:val="22"/>
          <w:szCs w:val="22"/>
        </w:rPr>
        <w:t>O Enseignant(s)- formateur(s)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Nombre :……</w:t>
      </w:r>
    </w:p>
    <w:p>
      <w:pPr>
        <w:shd w:val="clear" w:color="auto" w:fill="FFFFFF"/>
        <w:spacing w:after="120"/>
        <w:jc w:val="both"/>
        <w:rPr>
          <w:rFonts w:ascii="Calibri" w:hAnsi="Calibri" w:cs="Calibri"/>
          <w:sz w:val="22"/>
          <w:szCs w:val="22"/>
        </w:rPr>
      </w:pPr>
      <w:r>
        <w:rPr>
          <w:rFonts w:ascii="Calibri" w:hAnsi="Calibri" w:cs="Calibri"/>
          <w:sz w:val="22"/>
          <w:szCs w:val="22"/>
        </w:rPr>
        <w:t>O Stagiaire(s)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Nombre :……</w:t>
      </w:r>
    </w:p>
    <w:p>
      <w:pPr>
        <w:shd w:val="clear" w:color="auto" w:fill="FFFFFF"/>
        <w:spacing w:after="120"/>
        <w:jc w:val="both"/>
        <w:rPr>
          <w:rFonts w:ascii="Calibri" w:hAnsi="Calibri" w:cs="Calibri"/>
          <w:sz w:val="22"/>
          <w:szCs w:val="22"/>
        </w:rPr>
      </w:pPr>
    </w:p>
    <w:p>
      <w:pPr>
        <w:shd w:val="clear" w:color="auto" w:fill="FFFFFF"/>
        <w:spacing w:after="120"/>
        <w:jc w:val="both"/>
        <w:rPr>
          <w:rFonts w:ascii="Calibri" w:hAnsi="Calibri" w:cs="Calibri"/>
          <w:sz w:val="22"/>
          <w:szCs w:val="22"/>
        </w:rPr>
      </w:pPr>
    </w:p>
    <w:p>
      <w:pPr>
        <w:shd w:val="clear" w:color="auto" w:fill="FFFFFF"/>
        <w:spacing w:after="120"/>
        <w:jc w:val="both"/>
        <w:rPr>
          <w:rFonts w:ascii="Calibri" w:hAnsi="Calibri" w:cs="Calibri"/>
          <w:sz w:val="22"/>
          <w:szCs w:val="22"/>
        </w:rPr>
      </w:pPr>
      <w:r>
        <w:rPr>
          <w:rFonts w:ascii="Calibri" w:hAnsi="Calibri" w:cs="Calibri"/>
          <w:sz w:val="22"/>
          <w:szCs w:val="22"/>
        </w:rPr>
        <w:t>La présente convention prend effet à la date de sa signature, elle prend fin à l'issue du cycle de formation.</w:t>
      </w:r>
    </w:p>
    <w:p>
      <w:pPr>
        <w:shd w:val="clear" w:color="auto" w:fill="FFFFFF"/>
        <w:tabs>
          <w:tab w:val="left" w:leader="dot" w:pos="2318"/>
        </w:tabs>
        <w:spacing w:after="120"/>
        <w:rPr>
          <w:rFonts w:ascii="Calibri" w:hAnsi="Calibri" w:cs="Calibri"/>
          <w:sz w:val="22"/>
          <w:szCs w:val="22"/>
        </w:rPr>
      </w:pPr>
    </w:p>
    <w:p>
      <w:pPr>
        <w:shd w:val="clear" w:color="auto" w:fill="FFFFFF"/>
        <w:tabs>
          <w:tab w:val="left" w:leader="dot" w:pos="2318"/>
        </w:tabs>
        <w:spacing w:after="120"/>
        <w:rPr>
          <w:rFonts w:ascii="Calibri" w:hAnsi="Calibri" w:cs="Calibri"/>
          <w:sz w:val="22"/>
          <w:szCs w:val="22"/>
        </w:rPr>
      </w:pPr>
      <w:r>
        <w:rPr>
          <w:rFonts w:ascii="Calibri" w:hAnsi="Calibri" w:cs="Calibri"/>
          <w:sz w:val="22"/>
          <w:szCs w:val="22"/>
        </w:rPr>
        <w:t>Fait le …../…../20..… en 2 exemplaires signés respectivement par chacune des parties.</w:t>
      </w:r>
    </w:p>
    <w:p>
      <w:pPr>
        <w:shd w:val="clear" w:color="auto" w:fill="FFFFFF"/>
        <w:tabs>
          <w:tab w:val="left" w:leader="dot" w:pos="2318"/>
        </w:tabs>
        <w:spacing w:after="120"/>
        <w:rPr>
          <w:rFonts w:ascii="Calibri" w:hAnsi="Calibri" w:cs="Calibri"/>
          <w:sz w:val="22"/>
          <w:szCs w:val="22"/>
        </w:rPr>
      </w:pPr>
    </w:p>
    <w:p>
      <w:pPr>
        <w:shd w:val="clear" w:color="auto" w:fill="FFFFFF"/>
        <w:spacing w:after="120"/>
        <w:ind w:right="23"/>
        <w:jc w:val="center"/>
        <w:rPr>
          <w:rFonts w:ascii="Calibri" w:hAnsi="Calibri" w:cs="Calibri"/>
          <w:sz w:val="22"/>
          <w:szCs w:val="22"/>
        </w:rPr>
      </w:pPr>
      <w:r>
        <w:rPr>
          <w:rFonts w:ascii="Calibri" w:hAnsi="Calibri" w:cs="Calibri"/>
          <w:sz w:val="22"/>
          <w:szCs w:val="22"/>
        </w:rPr>
        <w:t xml:space="preserve">Pour le Centre de Technologies Avancées, </w:t>
      </w:r>
      <w:r>
        <w:rPr>
          <w:rFonts w:ascii="Calibri" w:hAnsi="Calibri" w:cs="Calibri"/>
          <w:sz w:val="22"/>
          <w:szCs w:val="22"/>
        </w:rPr>
        <w:br/>
        <w:t>Nom et qualité du signataire :</w:t>
      </w:r>
    </w:p>
    <w:p>
      <w:pPr>
        <w:shd w:val="clear" w:color="auto" w:fill="FFFFFF"/>
        <w:spacing w:after="120"/>
        <w:ind w:right="23"/>
        <w:jc w:val="center"/>
        <w:rPr>
          <w:rFonts w:ascii="Calibri" w:hAnsi="Calibri" w:cs="Calibri"/>
          <w:sz w:val="22"/>
          <w:szCs w:val="22"/>
        </w:rPr>
      </w:pPr>
      <w:r>
        <w:rPr>
          <w:rFonts w:ascii="Calibri" w:hAnsi="Calibri" w:cs="Calibri"/>
          <w:sz w:val="22"/>
          <w:szCs w:val="22"/>
        </w:rPr>
        <w:t xml:space="preserve">Pour l'opérateur-utilisateur, </w:t>
      </w:r>
      <w:r>
        <w:rPr>
          <w:rFonts w:ascii="Calibri" w:hAnsi="Calibri" w:cs="Calibri"/>
          <w:sz w:val="22"/>
          <w:szCs w:val="22"/>
        </w:rPr>
        <w:br/>
        <w:t>Nom et qualité du signataire :</w:t>
      </w:r>
    </w:p>
    <w:p>
      <w:pPr>
        <w:shd w:val="clear" w:color="auto" w:fill="FFFFFF"/>
        <w:spacing w:after="120"/>
        <w:rPr>
          <w:rFonts w:ascii="Calibri" w:hAnsi="Calibri" w:cs="Calibri"/>
          <w:b/>
          <w:bCs/>
          <w:sz w:val="22"/>
          <w:szCs w:val="22"/>
          <w:u w:val="single"/>
        </w:rPr>
      </w:pPr>
      <w:r>
        <w:rPr>
          <w:rFonts w:ascii="Calibri" w:hAnsi="Calibri" w:cs="Calibri"/>
          <w:b/>
          <w:bCs/>
          <w:sz w:val="22"/>
          <w:szCs w:val="22"/>
          <w:u w:val="single"/>
        </w:rPr>
        <w:br w:type="page"/>
      </w: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lastRenderedPageBreak/>
        <w:t>Annexe 1 : Règlement d'ordre intérieur du CTA</w:t>
      </w:r>
    </w:p>
    <w:p>
      <w:pPr>
        <w:shd w:val="clear" w:color="auto" w:fill="FFFFFF"/>
        <w:spacing w:after="120"/>
        <w:rPr>
          <w:rFonts w:ascii="Calibri" w:hAnsi="Calibri" w:cs="Calibri"/>
          <w:b/>
          <w:bCs/>
          <w:sz w:val="22"/>
          <w:szCs w:val="22"/>
          <w:u w:val="single"/>
        </w:rPr>
      </w:pPr>
    </w:p>
    <w:p>
      <w:pPr>
        <w:shd w:val="clear" w:color="auto" w:fill="FFFFFF"/>
        <w:spacing w:after="120"/>
        <w:rPr>
          <w:rFonts w:ascii="Calibri" w:hAnsi="Calibri" w:cs="Calibri"/>
          <w:b/>
          <w:bCs/>
          <w:sz w:val="22"/>
          <w:szCs w:val="22"/>
          <w:u w:val="single"/>
        </w:rPr>
      </w:pP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t>Annexe 2 : Programme de formation</w:t>
      </w:r>
    </w:p>
    <w:p>
      <w:pPr>
        <w:shd w:val="clear" w:color="auto" w:fill="FFFFFF"/>
        <w:spacing w:after="120"/>
        <w:rPr>
          <w:rFonts w:ascii="Calibri" w:hAnsi="Calibri" w:cs="Calibri"/>
          <w:b/>
          <w:bCs/>
          <w:sz w:val="22"/>
          <w:szCs w:val="22"/>
          <w:u w:val="single"/>
        </w:rPr>
      </w:pPr>
    </w:p>
    <w:p>
      <w:pPr>
        <w:shd w:val="clear" w:color="auto" w:fill="FFFFFF"/>
        <w:spacing w:after="120"/>
        <w:rPr>
          <w:rFonts w:ascii="Calibri" w:hAnsi="Calibri" w:cs="Calibri"/>
          <w:b/>
          <w:bCs/>
          <w:sz w:val="22"/>
          <w:szCs w:val="22"/>
          <w:u w:val="single"/>
        </w:rPr>
      </w:pP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t>Annexe 3 : Liste d'analyse des risques pour les équipements proposés</w:t>
      </w:r>
    </w:p>
    <w:p>
      <w:pPr>
        <w:shd w:val="clear" w:color="auto" w:fill="FFFFFF"/>
        <w:spacing w:after="120"/>
        <w:rPr>
          <w:rFonts w:ascii="Calibri" w:hAnsi="Calibri" w:cs="Calibri"/>
          <w:bCs/>
          <w:sz w:val="22"/>
          <w:szCs w:val="22"/>
        </w:rPr>
      </w:pPr>
    </w:p>
    <w:p>
      <w:pPr>
        <w:shd w:val="clear" w:color="auto" w:fill="FFFFFF"/>
        <w:spacing w:after="120"/>
        <w:rPr>
          <w:rFonts w:ascii="Calibri" w:hAnsi="Calibri" w:cs="Calibri"/>
          <w:bCs/>
          <w:sz w:val="22"/>
          <w:szCs w:val="22"/>
        </w:rPr>
      </w:pPr>
    </w:p>
    <w:p>
      <w:pPr>
        <w:shd w:val="clear" w:color="auto" w:fill="FFFFFF"/>
        <w:spacing w:after="120"/>
        <w:outlineLvl w:val="0"/>
        <w:rPr>
          <w:rFonts w:ascii="Calibri" w:hAnsi="Calibri" w:cs="Calibri"/>
          <w:sz w:val="22"/>
          <w:szCs w:val="22"/>
        </w:rPr>
      </w:pPr>
      <w:r>
        <w:rPr>
          <w:rFonts w:ascii="Calibri" w:hAnsi="Calibri" w:cs="Calibri"/>
          <w:bCs/>
          <w:sz w:val="22"/>
          <w:szCs w:val="22"/>
        </w:rPr>
        <w:t>Ces trois documents sont propres à chaque CTA</w:t>
      </w:r>
    </w:p>
    <w:p>
      <w:pPr>
        <w:shd w:val="clear" w:color="auto" w:fill="FFFFFF"/>
        <w:spacing w:after="120"/>
        <w:outlineLvl w:val="0"/>
        <w:rPr>
          <w:rFonts w:ascii="Calibri" w:hAnsi="Calibri" w:cs="Calibri"/>
          <w:sz w:val="22"/>
          <w:szCs w:val="22"/>
        </w:rPr>
      </w:pPr>
    </w:p>
    <w:p>
      <w:pPr>
        <w:spacing w:after="120"/>
        <w:ind w:right="8165"/>
        <w:rPr>
          <w:rFonts w:ascii="Calibri" w:hAnsi="Calibri" w:cs="Calibri"/>
          <w:sz w:val="22"/>
          <w:szCs w:val="22"/>
        </w:rPr>
        <w:sectPr>
          <w:footnotePr>
            <w:numRestart w:val="eachSect"/>
          </w:footnotePr>
          <w:pgSz w:w="11906" w:h="16838"/>
          <w:pgMar w:top="1417" w:right="1417" w:bottom="1417" w:left="1417" w:header="708" w:footer="708" w:gutter="0"/>
          <w:cols w:space="708"/>
          <w:docGrid w:linePitch="360"/>
        </w:sect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6</w:t>
      </w:r>
    </w:p>
    <w:p>
      <w:pPr>
        <w:spacing w:before="240" w:after="240"/>
        <w:jc w:val="center"/>
        <w:rPr>
          <w:rFonts w:ascii="Calibri" w:hAnsi="Calibri" w:cs="Calibri"/>
          <w:sz w:val="22"/>
          <w:szCs w:val="22"/>
        </w:rPr>
        <w:sectPr>
          <w:headerReference w:type="default" r:id="rId29"/>
          <w:footerReference w:type="default" r:id="rId30"/>
          <w:pgSz w:w="11906" w:h="16838"/>
          <w:pgMar w:top="1417" w:right="1417" w:bottom="1417" w:left="1417" w:header="708" w:footer="708" w:gutter="0"/>
          <w:cols w:space="708"/>
          <w:docGrid w:linePitch="360"/>
        </w:sectPr>
      </w:pPr>
      <w:r>
        <w:rPr>
          <w:rFonts w:ascii="Calibri" w:hAnsi="Calibri" w:cs="Calibri"/>
          <w:b/>
          <w:sz w:val="36"/>
          <w:szCs w:val="36"/>
        </w:rPr>
        <w:t>Modèle de convention bilatérale générale et spécifique à destination des opérateurs-utilisateurs hors enseignement</w:t>
      </w:r>
    </w:p>
    <w:p>
      <w:pPr>
        <w:spacing w:after="120"/>
        <w:ind w:right="8165"/>
        <w:rPr>
          <w:rFonts w:ascii="Calibri" w:hAnsi="Calibri" w:cs="Calibri"/>
          <w:sz w:val="22"/>
          <w:szCs w:val="22"/>
        </w:rPr>
      </w:pPr>
      <w:r>
        <w:rPr>
          <w:rFonts w:ascii="Calibri" w:hAnsi="Calibri" w:cs="Calibri"/>
          <w:noProof/>
          <w:sz w:val="22"/>
          <w:szCs w:val="22"/>
          <w:lang w:eastAsia="fr-BE"/>
        </w:rPr>
        <w:lastRenderedPageBreak/>
        <w:drawing>
          <wp:inline distT="0" distB="0" distL="0" distR="0">
            <wp:extent cx="1424940" cy="724535"/>
            <wp:effectExtent l="0" t="0" r="3810" b="0"/>
            <wp:docPr id="8" name="Image 8" descr="Coq pau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q paulus"/>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24940" cy="724535"/>
                    </a:xfrm>
                    <a:prstGeom prst="rect">
                      <a:avLst/>
                    </a:prstGeom>
                    <a:noFill/>
                    <a:ln>
                      <a:noFill/>
                    </a:ln>
                  </pic:spPr>
                </pic:pic>
              </a:graphicData>
            </a:graphic>
          </wp:inline>
        </w:drawing>
      </w:r>
    </w:p>
    <w:p>
      <w:pPr>
        <w:spacing w:after="120"/>
        <w:ind w:right="8165"/>
        <w:rPr>
          <w:rFonts w:ascii="Calibri" w:hAnsi="Calibri" w:cs="Calibri"/>
          <w:sz w:val="22"/>
          <w:szCs w:val="22"/>
        </w:rPr>
      </w:pPr>
    </w:p>
    <w:p>
      <w:pPr>
        <w:pBdr>
          <w:top w:val="single" w:sz="8" w:space="1" w:color="auto"/>
          <w:left w:val="single" w:sz="8" w:space="4" w:color="auto"/>
          <w:bottom w:val="single" w:sz="8" w:space="1" w:color="auto"/>
          <w:right w:val="single" w:sz="8" w:space="12" w:color="auto"/>
        </w:pBdr>
        <w:shd w:val="clear" w:color="auto" w:fill="FFFFFF"/>
        <w:spacing w:after="120"/>
        <w:ind w:right="221"/>
        <w:jc w:val="center"/>
        <w:rPr>
          <w:rFonts w:ascii="Calibri" w:hAnsi="Calibri" w:cs="Calibri"/>
          <w:b/>
          <w:smallCaps/>
          <w:sz w:val="22"/>
          <w:szCs w:val="22"/>
        </w:rPr>
      </w:pPr>
      <w:r>
        <w:rPr>
          <w:rFonts w:ascii="Calibri" w:hAnsi="Calibri" w:cs="Calibri"/>
          <w:b/>
          <w:bCs/>
          <w:smallCaps/>
          <w:sz w:val="22"/>
          <w:szCs w:val="22"/>
        </w:rPr>
        <w:t>CONVENTION BILATERALE GENERALE DE COLLABORATION ENTRE LES CENTRES DE TECHNOLOGIES AVANCEES ET LES OPERATEURS-UTILISATEURS HORS ENSEIGNEMENT</w:t>
      </w:r>
    </w:p>
    <w:p>
      <w:pPr>
        <w:shd w:val="clear" w:color="auto" w:fill="FFFFFF"/>
        <w:spacing w:after="120"/>
        <w:rPr>
          <w:rFonts w:ascii="Calibri" w:hAnsi="Calibri" w:cs="Calibri"/>
          <w:sz w:val="22"/>
          <w:szCs w:val="22"/>
        </w:rPr>
      </w:pPr>
    </w:p>
    <w:p>
      <w:pPr>
        <w:shd w:val="clear" w:color="auto" w:fill="FFFFFF"/>
        <w:spacing w:after="120"/>
        <w:rPr>
          <w:rFonts w:ascii="Calibri" w:hAnsi="Calibri" w:cs="Calibri"/>
          <w:sz w:val="22"/>
          <w:szCs w:val="22"/>
        </w:rPr>
      </w:pPr>
      <w:r>
        <w:rPr>
          <w:rFonts w:ascii="Calibri" w:hAnsi="Calibri" w:cs="Calibri"/>
          <w:sz w:val="22"/>
          <w:szCs w:val="22"/>
        </w:rPr>
        <w:t>La présente convention est conclue entre :</w:t>
      </w:r>
    </w:p>
    <w:p>
      <w:pPr>
        <w:shd w:val="clear" w:color="auto" w:fill="FFFFFF"/>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jc w:val="center"/>
        <w:rPr>
          <w:rFonts w:ascii="Calibri" w:hAnsi="Calibri" w:cs="Calibri"/>
          <w:sz w:val="22"/>
          <w:szCs w:val="22"/>
        </w:rPr>
      </w:pPr>
      <w:r>
        <w:rPr>
          <w:rFonts w:ascii="Calibri" w:hAnsi="Calibri" w:cs="Calibri"/>
          <w:sz w:val="22"/>
          <w:szCs w:val="22"/>
        </w:rPr>
        <w:t>[Le Pouvoir organisateur de l’établissement où est établi le CTA]</w:t>
      </w:r>
      <w:r>
        <w:rPr>
          <w:rStyle w:val="Appelnotedebasdep"/>
          <w:rFonts w:ascii="Calibri" w:hAnsi="Calibri" w:cs="Calibri"/>
          <w:sz w:val="22"/>
          <w:szCs w:val="22"/>
        </w:rPr>
        <w:footnoteReference w:id="25"/>
      </w:r>
      <w:r>
        <w:rPr>
          <w:rFonts w:ascii="Calibri" w:hAnsi="Calibri" w:cs="Calibri"/>
          <w:sz w:val="22"/>
          <w:szCs w:val="22"/>
        </w:rPr>
        <w:t>:</w:t>
      </w: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jc w:val="center"/>
        <w:outlineLvl w:val="0"/>
        <w:rPr>
          <w:rFonts w:ascii="Calibri" w:hAnsi="Calibri" w:cs="Calibri"/>
          <w:sz w:val="22"/>
          <w:szCs w:val="22"/>
        </w:rPr>
      </w:pPr>
      <w:r>
        <w:rPr>
          <w:rFonts w:ascii="Calibri" w:hAnsi="Calibri" w:cs="Calibri"/>
          <w:noProof/>
          <w:sz w:val="22"/>
          <w:szCs w:val="22"/>
          <w:lang w:eastAsia="fr-BE"/>
        </w:rPr>
        <mc:AlternateContent>
          <mc:Choice Requires="wps">
            <w:drawing>
              <wp:anchor distT="0" distB="0" distL="114299" distR="114299" simplePos="0" relativeHeight="251641856" behindDoc="0" locked="0" layoutInCell="1" allowOverlap="1">
                <wp:simplePos x="0" y="0"/>
                <wp:positionH relativeFrom="margin">
                  <wp:posOffset>7491729</wp:posOffset>
                </wp:positionH>
                <wp:positionV relativeFrom="paragraph">
                  <wp:posOffset>57785</wp:posOffset>
                </wp:positionV>
                <wp:extent cx="0" cy="365760"/>
                <wp:effectExtent l="0" t="0" r="19050" b="34290"/>
                <wp:wrapNone/>
                <wp:docPr id="10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576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41856;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589.9pt,4.55pt" to="589.9pt,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LiQEwIAACkEAAAOAAAAZHJzL2Uyb0RvYy54bWysU8GO2jAQvVfqP1i+QxIILBsRVlUCvWy7&#10;SLv9AGM7xKpjW7YhoKr/3rEDiG0vVdUcnLE98+bNvPHy6dRJdOTWCa1KnI1TjLiimgm1L/G3t81o&#10;gZHzRDEiteIlPnOHn1YfPyx7U/CJbrVk3CIAUa7oTYlb702RJI62vCNurA1XcNlo2xEPW7tPmCU9&#10;oHcymaTpPOm1ZcZqyp2D03q4xKuI3zSc+pemcdwjWWLg5uNq47oLa7JakmJviWkFvdAg/8CiI0JB&#10;0htUTTxBByv+gOoEtdrpxo+p7hLdNILyWANUk6W/VfPaEsNjLdAcZ25tcv8Pln49bi0SDLRLpxgp&#10;0oFIz0JxNAm96Y0rwKVSWxuqoyf1ap41/e6Q0lVL1J5Hjm9nA2FZiEjehYSNM5Bh13/RDHzIwevY&#10;qFNjuwAJLUCnqMf5pgc/eUSHQwqn0/nsYR6lSkhxjTPW+c9cdygYJZZAOeKS47PzgQcpri4hjdIb&#10;IWVUWyrUlzjP81kMcFoKFi6Dm7P7XSUtOpIwL/GLRcHNvZvVB8UiWMsJW19sT4QcbEguVcCDSoDO&#10;xRoG4sdj+rherBf5KJ/M16M8revRp02Vj+ab7GFWT+uqqrOfgVqWF61gjKvA7jqcWf534l+eyTBW&#10;t/G8tSF5jx77BWSv/0g6ShnUG+Zgp9l5a68SwzxG58vbCQN/vwf7/oWvfgEAAP//AwBQSwMEFAAG&#10;AAgAAAAhAAvkAOLeAAAACgEAAA8AAABkcnMvZG93bnJldi54bWxMj8FOwzAQRO9I/IO1SNyoE4Sc&#10;NsSpKgRckKhaEL1u420SEa+j2G3Sv8cVBzjOzmjmbbGcbCdONPjWsYZ0loAgrpxpudbw+fFyNwfh&#10;A7LBzjFpOJOHZXl9VWBu3MgbOm1DLWIJ+xw1NCH0uZS+asiin7meOHoHN1gMUQ61NAOOsdx28j5J&#10;lLTYclxosKenhqrv7dFqmO9wXD+3K/VQ1Tt1eD9nr1/rN61vb6bVI4hAU/gLwwU/okMZmfbuyMaL&#10;Luo0W0T2oGGRgrgEfg97DUplIMtC/n+h/AEAAP//AwBQSwECLQAUAAYACAAAACEAtoM4kv4AAADh&#10;AQAAEwAAAAAAAAAAAAAAAAAAAAAAW0NvbnRlbnRfVHlwZXNdLnhtbFBLAQItABQABgAIAAAAIQA4&#10;/SH/1gAAAJQBAAALAAAAAAAAAAAAAAAAAC8BAABfcmVscy8ucmVsc1BLAQItABQABgAIAAAAIQDj&#10;0LiQEwIAACkEAAAOAAAAAAAAAAAAAAAAAC4CAABkcnMvZTJvRG9jLnhtbFBLAQItABQABgAIAAAA&#10;IQAL5ADi3gAAAAoBAAAPAAAAAAAAAAAAAAAAAG0EAABkcnMvZG93bnJldi54bWxQSwUGAAAAAAQA&#10;BADzAAAAeAUAAAAA&#10;" strokeweight=".35pt">
                <w10:wrap anchorx="margin"/>
              </v:line>
            </w:pict>
          </mc:Fallback>
        </mc:AlternateContent>
      </w:r>
      <w:r>
        <w:rPr>
          <w:rFonts w:ascii="Calibri" w:hAnsi="Calibri" w:cs="Calibri"/>
          <w:sz w:val="22"/>
          <w:szCs w:val="22"/>
        </w:rPr>
        <w:t>Représenté par</w:t>
      </w:r>
      <w:r>
        <w:rPr>
          <w:rStyle w:val="Appelnotedebasdep"/>
          <w:rFonts w:ascii="Calibri" w:hAnsi="Calibri" w:cs="Calibri"/>
          <w:sz w:val="22"/>
          <w:szCs w:val="22"/>
        </w:rPr>
        <w:footnoteReference w:id="26"/>
      </w:r>
      <w:r>
        <w:rPr>
          <w:rFonts w:ascii="Calibri" w:hAnsi="Calibri" w:cs="Calibri"/>
          <w:sz w:val="22"/>
          <w:szCs w:val="22"/>
        </w:rPr>
        <w:t> :</w:t>
      </w: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2" w:color="auto"/>
        </w:pBdr>
        <w:spacing w:after="120"/>
        <w:rPr>
          <w:rFonts w:ascii="Calibri" w:hAnsi="Calibri" w:cs="Calibri"/>
          <w:sz w:val="22"/>
          <w:szCs w:val="22"/>
        </w:rPr>
      </w:pPr>
      <w:r>
        <w:rPr>
          <w:rFonts w:ascii="Calibri" w:hAnsi="Calibri" w:cs="Calibri"/>
          <w:noProof/>
          <w:sz w:val="22"/>
          <w:szCs w:val="22"/>
          <w:lang w:eastAsia="fr-BE"/>
        </w:rPr>
        <mc:AlternateContent>
          <mc:Choice Requires="wps">
            <w:drawing>
              <wp:anchor distT="0" distB="0" distL="114299" distR="114299" simplePos="0" relativeHeight="251642880" behindDoc="0" locked="0" layoutInCell="1" allowOverlap="1">
                <wp:simplePos x="0" y="0"/>
                <wp:positionH relativeFrom="margin">
                  <wp:posOffset>7186929</wp:posOffset>
                </wp:positionH>
                <wp:positionV relativeFrom="paragraph">
                  <wp:posOffset>213360</wp:posOffset>
                </wp:positionV>
                <wp:extent cx="0" cy="365760"/>
                <wp:effectExtent l="0" t="0" r="19050" b="34290"/>
                <wp:wrapNone/>
                <wp:docPr id="10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576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42880;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565.9pt,16.8pt" to="565.9pt,4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U3LEwIAACkEAAAOAAAAZHJzL2Uyb0RvYy54bWysU8GO2jAQvVfqP1i+QxLIsh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DLRLJxgp&#10;0oFIz0JxNA296Y0rwKVSWxuqoyf1ap41/e6Q0lVL1J5Hjm9nA2FZiEjehYSNM5Bh13/RDHzIwevY&#10;qFNjuwAJLUCnqMf5pgc/eUSHQwqn09nD4yxKlZDiGmes85+57lAwSiyBcsQlx2fnAw9SXF1CGqU3&#10;QsqotlSoL/F8vkhjgNNSsHAZ3Jzd7ypp0ZGEeYlfLApu7t2sPigWwVpO2PpieyLkYENyqQIeVAJ0&#10;LtYwED8W6WI9X8/zUT6ZrUd5WtejT5sqH8022eNDPa2rqs5+BmpZXrSCMa4Cu+twZvnfiX95JsNY&#10;3cbz1obkPXrsF5C9/iPpKGVQb5iDnWbnrb1KDPMYnS9vJwz8/R7s+xe++gUAAP//AwBQSwMEFAAG&#10;AAgAAAAhAJew8eHfAAAACwEAAA8AAABkcnMvZG93bnJldi54bWxMj8FOwzAQRO9I/IO1SFwQddJI&#10;EYQ4VShwyaESScXZiZckEK8j223D3+OKQznOzmjmbb5Z9MSOaN1oSEC8ioAhdUaN1AvYN2/3D8Cc&#10;l6TkZAgF/KCDTXF9lctMmRO947H2PQsl5DIpYPB+zjh33YBaupWZkYL3aayWPkjbc2XlKZTria+j&#10;KOVajhQWBjnjdsDuuz5oAe1rmW6byux3zUdb2bvqq6yfX4S4vVnKJ2AeF38Jwxk/oEMRmFpzIOXY&#10;FHScxIHdC0iSFNg58XdpBTzGa+BFzv//UPwCAAD//wMAUEsBAi0AFAAGAAgAAAAhALaDOJL+AAAA&#10;4QEAABMAAAAAAAAAAAAAAAAAAAAAAFtDb250ZW50X1R5cGVzXS54bWxQSwECLQAUAAYACAAAACEA&#10;OP0h/9YAAACUAQAACwAAAAAAAAAAAAAAAAAvAQAAX3JlbHMvLnJlbHNQSwECLQAUAAYACAAAACEA&#10;ZWVNyxMCAAApBAAADgAAAAAAAAAAAAAAAAAuAgAAZHJzL2Uyb0RvYy54bWxQSwECLQAUAAYACAAA&#10;ACEAl7Dx4d8AAAALAQAADwAAAAAAAAAAAAAAAABtBAAAZHJzL2Rvd25yZXYueG1sUEsFBgAAAAAE&#10;AAQA8wAAAHkFAAAAAA==&#10;" strokeweight=".7pt">
                <w10:wrap anchorx="margin"/>
              </v:line>
            </w:pict>
          </mc:Fallback>
        </mc:AlternateContent>
      </w:r>
    </w:p>
    <w:p>
      <w:pPr>
        <w:spacing w:after="120"/>
        <w:jc w:val="both"/>
        <w:rPr>
          <w:rFonts w:ascii="Calibri" w:hAnsi="Calibri" w:cs="Calibri"/>
          <w:sz w:val="22"/>
          <w:szCs w:val="22"/>
        </w:rPr>
      </w:pPr>
      <w:r>
        <w:rPr>
          <w:rFonts w:ascii="Calibri" w:hAnsi="Calibri" w:cs="Calibri"/>
          <w:sz w:val="22"/>
          <w:szCs w:val="22"/>
        </w:rPr>
        <w:t>Et :</w:t>
      </w:r>
    </w:p>
    <w:p>
      <w:pPr>
        <w:pBdr>
          <w:top w:val="single" w:sz="4" w:space="1" w:color="auto"/>
          <w:left w:val="single" w:sz="4" w:space="0" w:color="auto"/>
          <w:bottom w:val="single" w:sz="4" w:space="1" w:color="auto"/>
          <w:right w:val="single" w:sz="4" w:space="4" w:color="auto"/>
        </w:pBdr>
        <w:spacing w:after="120"/>
        <w:jc w:val="center"/>
        <w:outlineLvl w:val="0"/>
        <w:rPr>
          <w:rFonts w:ascii="Calibri" w:hAnsi="Calibri" w:cs="Calibri"/>
          <w:sz w:val="22"/>
          <w:szCs w:val="22"/>
        </w:rPr>
      </w:pPr>
      <w:r>
        <w:rPr>
          <w:rFonts w:ascii="Calibri" w:hAnsi="Calibri" w:cs="Calibri"/>
          <w:sz w:val="22"/>
          <w:szCs w:val="22"/>
        </w:rPr>
        <w:t>L’opérateur-utilisateur :</w:t>
      </w: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jc w:val="center"/>
        <w:outlineLvl w:val="0"/>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pBdr>
          <w:top w:val="single" w:sz="4" w:space="1" w:color="auto"/>
          <w:left w:val="single" w:sz="4" w:space="0" w:color="auto"/>
          <w:bottom w:val="single" w:sz="4" w:space="1" w:color="auto"/>
          <w:right w:val="single" w:sz="4" w:space="4" w:color="auto"/>
        </w:pBdr>
        <w:spacing w:after="120"/>
        <w:jc w:val="center"/>
        <w:rPr>
          <w:rFonts w:ascii="Calibri" w:hAnsi="Calibri" w:cs="Calibri"/>
          <w:sz w:val="22"/>
          <w:szCs w:val="22"/>
        </w:rPr>
      </w:pPr>
    </w:p>
    <w:p>
      <w:pPr>
        <w:shd w:val="clear" w:color="auto" w:fill="FFFFFF"/>
        <w:spacing w:after="120"/>
        <w:rPr>
          <w:rFonts w:ascii="Calibri" w:hAnsi="Calibri" w:cs="Calibri"/>
          <w:sz w:val="22"/>
          <w:szCs w:val="22"/>
        </w:rPr>
      </w:pPr>
      <w:r>
        <w:rPr>
          <w:rFonts w:ascii="Calibri" w:hAnsi="Calibri" w:cs="Calibri"/>
          <w:b/>
          <w:bCs/>
          <w:sz w:val="22"/>
          <w:szCs w:val="22"/>
        </w:rPr>
        <w:br w:type="page"/>
      </w:r>
      <w:r>
        <w:rPr>
          <w:rFonts w:ascii="Calibri" w:hAnsi="Calibri" w:cs="Calibri"/>
          <w:b/>
          <w:bCs/>
          <w:sz w:val="22"/>
          <w:szCs w:val="22"/>
        </w:rPr>
        <w:lastRenderedPageBreak/>
        <w:t>Article 1 : Cadre légal</w:t>
      </w:r>
    </w:p>
    <w:p>
      <w:pPr>
        <w:shd w:val="clear" w:color="auto" w:fill="FFFFFF"/>
        <w:spacing w:after="240"/>
        <w:jc w:val="both"/>
        <w:rPr>
          <w:rFonts w:ascii="Calibri" w:hAnsi="Calibri" w:cs="Calibri"/>
          <w:sz w:val="22"/>
          <w:szCs w:val="22"/>
        </w:rPr>
      </w:pPr>
      <w:r>
        <w:rPr>
          <w:rFonts w:ascii="Calibri" w:hAnsi="Calibri" w:cs="Calibri"/>
          <w:sz w:val="22"/>
          <w:szCs w:val="22"/>
        </w:rPr>
        <w:t>La présente convention est conclue en application de l’article 6 du décret du 11 avril 2014 garantissant l’équipement pédagogique de l’enseignement qualifiant et fixant l’organisation des Centres de Technologies Avancées.</w:t>
      </w:r>
    </w:p>
    <w:p>
      <w:pPr>
        <w:shd w:val="clear" w:color="auto" w:fill="FFFFFF"/>
        <w:spacing w:after="120"/>
        <w:outlineLvl w:val="0"/>
        <w:rPr>
          <w:rFonts w:ascii="Calibri" w:hAnsi="Calibri" w:cs="Calibri"/>
          <w:b/>
          <w:sz w:val="22"/>
          <w:szCs w:val="22"/>
        </w:rPr>
      </w:pPr>
      <w:r>
        <w:rPr>
          <w:rFonts w:ascii="Calibri" w:hAnsi="Calibri" w:cs="Calibri"/>
          <w:b/>
          <w:bCs/>
          <w:sz w:val="22"/>
          <w:szCs w:val="22"/>
        </w:rPr>
        <w:t>Article 2 : Champ d’application</w:t>
      </w:r>
    </w:p>
    <w:p>
      <w:pPr>
        <w:shd w:val="clear" w:color="auto" w:fill="FFFFFF"/>
        <w:spacing w:after="240"/>
        <w:jc w:val="both"/>
        <w:outlineLvl w:val="0"/>
        <w:rPr>
          <w:rFonts w:ascii="Calibri" w:hAnsi="Calibri" w:cs="Calibri"/>
          <w:sz w:val="22"/>
          <w:szCs w:val="22"/>
        </w:rPr>
      </w:pPr>
      <w:r>
        <w:rPr>
          <w:rFonts w:ascii="Calibri" w:hAnsi="Calibri" w:cs="Calibri"/>
          <w:sz w:val="22"/>
          <w:szCs w:val="22"/>
        </w:rPr>
        <w:t>Cette convention s’applique aux collaborations entre les Centres de Technologies Avancées et les opérateurs-utilisateurs hors enseignement.</w:t>
      </w:r>
    </w:p>
    <w:p>
      <w:pPr>
        <w:shd w:val="clear" w:color="auto" w:fill="FFFFFF"/>
        <w:spacing w:after="120"/>
        <w:jc w:val="both"/>
        <w:outlineLvl w:val="0"/>
        <w:rPr>
          <w:rFonts w:ascii="Calibri" w:hAnsi="Calibri" w:cs="Calibri"/>
          <w:b/>
          <w:sz w:val="22"/>
          <w:szCs w:val="22"/>
        </w:rPr>
      </w:pPr>
      <w:r>
        <w:rPr>
          <w:rFonts w:ascii="Calibri" w:hAnsi="Calibri" w:cs="Calibri"/>
          <w:b/>
          <w:bCs/>
          <w:sz w:val="22"/>
          <w:szCs w:val="22"/>
        </w:rPr>
        <w:t>Article 3 : Définitions</w:t>
      </w:r>
    </w:p>
    <w:p>
      <w:pPr>
        <w:shd w:val="clear" w:color="auto" w:fill="FFFFFF"/>
        <w:tabs>
          <w:tab w:val="left" w:pos="-3686"/>
        </w:tabs>
        <w:spacing w:after="120"/>
        <w:ind w:right="14"/>
        <w:jc w:val="both"/>
        <w:rPr>
          <w:rFonts w:ascii="Calibri" w:hAnsi="Calibri" w:cs="Calibri"/>
          <w:sz w:val="22"/>
          <w:szCs w:val="22"/>
        </w:rPr>
      </w:pPr>
      <w:r>
        <w:rPr>
          <w:rFonts w:ascii="Calibri" w:hAnsi="Calibri" w:cs="Calibri"/>
          <w:sz w:val="22"/>
          <w:szCs w:val="22"/>
        </w:rPr>
        <w:t>Pour l’application de la présente convention, il y a lieu d’entendre par :</w:t>
      </w:r>
    </w:p>
    <w:p>
      <w:pPr>
        <w:numPr>
          <w:ilvl w:val="0"/>
          <w:numId w:val="75"/>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u w:val="single"/>
        </w:rPr>
        <w:t>« Centre de technologies avancées » (en abrégé « CTA »)</w:t>
      </w:r>
      <w:r>
        <w:rPr>
          <w:rFonts w:ascii="Calibri" w:hAnsi="Calibri" w:cs="Calibri"/>
          <w:sz w:val="22"/>
          <w:szCs w:val="22"/>
        </w:rPr>
        <w:t> : infrastructure mettant des équipements de pointe à disposition des élèves et des enseignants, quels que soient le réseau et le caractère d'enseignement, ainsi que des apprentis, des demandeurs d'emploi et des travailleurs, en vue de développer des formations qualifiantes ;</w:t>
      </w:r>
    </w:p>
    <w:p>
      <w:pPr>
        <w:numPr>
          <w:ilvl w:val="0"/>
          <w:numId w:val="75"/>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u w:val="single"/>
        </w:rPr>
        <w:t>« Opérateur-utilisateur »</w:t>
      </w:r>
      <w:r>
        <w:rPr>
          <w:rFonts w:ascii="Calibri" w:hAnsi="Calibri" w:cs="Calibri"/>
          <w:sz w:val="22"/>
          <w:szCs w:val="22"/>
        </w:rPr>
        <w:t xml:space="preserve"> : </w:t>
      </w:r>
    </w:p>
    <w:p>
      <w:pPr>
        <w:numPr>
          <w:ilvl w:val="0"/>
          <w:numId w:val="18"/>
        </w:numPr>
        <w:shd w:val="clear" w:color="auto" w:fill="FFFFFF"/>
        <w:tabs>
          <w:tab w:val="left" w:pos="-3686"/>
        </w:tabs>
        <w:spacing w:after="120"/>
        <w:ind w:right="14"/>
        <w:jc w:val="both"/>
        <w:rPr>
          <w:rFonts w:ascii="Calibri" w:hAnsi="Calibri" w:cs="Calibri"/>
          <w:sz w:val="22"/>
          <w:szCs w:val="22"/>
        </w:rPr>
      </w:pPr>
      <w:r>
        <w:rPr>
          <w:rFonts w:ascii="Calibri" w:hAnsi="Calibri" w:cs="Calibri"/>
          <w:sz w:val="22"/>
          <w:szCs w:val="22"/>
        </w:rPr>
        <w:t>les travailleurs par l’intermédiaire de leur entreprise ;</w:t>
      </w:r>
    </w:p>
    <w:p>
      <w:pPr>
        <w:numPr>
          <w:ilvl w:val="0"/>
          <w:numId w:val="18"/>
        </w:numPr>
        <w:shd w:val="clear" w:color="auto" w:fill="FFFFFF"/>
        <w:tabs>
          <w:tab w:val="left" w:pos="-3686"/>
        </w:tabs>
        <w:spacing w:after="120"/>
        <w:ind w:right="14"/>
        <w:jc w:val="both"/>
        <w:rPr>
          <w:rFonts w:ascii="Calibri" w:hAnsi="Calibri" w:cs="Calibri"/>
          <w:sz w:val="22"/>
          <w:szCs w:val="22"/>
        </w:rPr>
      </w:pPr>
      <w:r>
        <w:rPr>
          <w:rFonts w:ascii="Calibri" w:hAnsi="Calibri" w:cs="Calibri"/>
          <w:sz w:val="22"/>
          <w:szCs w:val="22"/>
        </w:rPr>
        <w:t>les centres de compétence ;</w:t>
      </w:r>
    </w:p>
    <w:p>
      <w:pPr>
        <w:numPr>
          <w:ilvl w:val="0"/>
          <w:numId w:val="18"/>
        </w:numPr>
        <w:shd w:val="clear" w:color="auto" w:fill="FFFFFF"/>
        <w:tabs>
          <w:tab w:val="left" w:pos="-3686"/>
        </w:tabs>
        <w:spacing w:after="120"/>
        <w:ind w:right="14"/>
        <w:jc w:val="both"/>
        <w:rPr>
          <w:rFonts w:ascii="Calibri" w:hAnsi="Calibri" w:cs="Calibri"/>
          <w:sz w:val="22"/>
          <w:szCs w:val="22"/>
        </w:rPr>
      </w:pPr>
      <w:r>
        <w:rPr>
          <w:rFonts w:ascii="Calibri" w:hAnsi="Calibri" w:cs="Calibri"/>
          <w:sz w:val="22"/>
          <w:szCs w:val="22"/>
        </w:rPr>
        <w:t>les centres de référence professionnelle ;</w:t>
      </w:r>
    </w:p>
    <w:p>
      <w:pPr>
        <w:numPr>
          <w:ilvl w:val="0"/>
          <w:numId w:val="18"/>
        </w:numPr>
        <w:shd w:val="clear" w:color="auto" w:fill="FFFFFF"/>
        <w:tabs>
          <w:tab w:val="left" w:pos="-3686"/>
        </w:tabs>
        <w:spacing w:after="120"/>
        <w:ind w:right="14"/>
        <w:jc w:val="both"/>
        <w:rPr>
          <w:rFonts w:ascii="Calibri" w:hAnsi="Calibri" w:cs="Calibri"/>
          <w:sz w:val="22"/>
          <w:szCs w:val="22"/>
        </w:rPr>
      </w:pPr>
      <w:r>
        <w:rPr>
          <w:rFonts w:ascii="Calibri" w:hAnsi="Calibri" w:cs="Calibri"/>
          <w:sz w:val="22"/>
          <w:szCs w:val="22"/>
        </w:rPr>
        <w:t>les fonds sectoriels de formation ;</w:t>
      </w:r>
    </w:p>
    <w:p>
      <w:pPr>
        <w:numPr>
          <w:ilvl w:val="0"/>
          <w:numId w:val="18"/>
        </w:numPr>
        <w:shd w:val="clear" w:color="auto" w:fill="FFFFFF"/>
        <w:tabs>
          <w:tab w:val="left" w:pos="-3686"/>
        </w:tabs>
        <w:spacing w:after="120"/>
        <w:ind w:right="14"/>
        <w:jc w:val="both"/>
        <w:rPr>
          <w:rFonts w:ascii="Calibri" w:hAnsi="Calibri" w:cs="Calibri"/>
          <w:sz w:val="22"/>
          <w:szCs w:val="22"/>
        </w:rPr>
      </w:pPr>
      <w:r>
        <w:rPr>
          <w:rFonts w:ascii="Calibri" w:hAnsi="Calibri" w:cs="Calibri"/>
          <w:sz w:val="22"/>
          <w:szCs w:val="22"/>
        </w:rPr>
        <w:t>les autres intervenants.</w:t>
      </w:r>
    </w:p>
    <w:p>
      <w:pPr>
        <w:numPr>
          <w:ilvl w:val="0"/>
          <w:numId w:val="75"/>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u w:val="single"/>
        </w:rPr>
        <w:t>« Stagiaires »</w:t>
      </w:r>
      <w:r>
        <w:rPr>
          <w:rFonts w:ascii="Calibri" w:hAnsi="Calibri" w:cs="Calibri"/>
          <w:sz w:val="22"/>
          <w:szCs w:val="22"/>
        </w:rPr>
        <w:t> : les travailleurs, les demandeurs d’emploi, les apprenants de l’IFAPME, de l’AWIPH et du SFPME ou, dans le cas où ils sont formés dans un CTA par des formateurs d’un Centre de compétence ou de référence, les élèves de l’enseignement obligatoire, étudiants de l’enseignement de promotion sociale et étudiants de l’enseignement supérieur ;</w:t>
      </w:r>
    </w:p>
    <w:p>
      <w:pPr>
        <w:numPr>
          <w:ilvl w:val="0"/>
          <w:numId w:val="75"/>
        </w:numPr>
        <w:shd w:val="clear" w:color="auto" w:fill="FFFFFF"/>
        <w:spacing w:after="240"/>
        <w:ind w:left="426"/>
        <w:jc w:val="both"/>
        <w:rPr>
          <w:rFonts w:ascii="Calibri" w:hAnsi="Calibri" w:cs="Calibri"/>
          <w:sz w:val="22"/>
          <w:szCs w:val="22"/>
        </w:rPr>
      </w:pPr>
      <w:r>
        <w:rPr>
          <w:rFonts w:ascii="Calibri" w:hAnsi="Calibri" w:cs="Calibri"/>
          <w:sz w:val="22"/>
          <w:szCs w:val="22"/>
          <w:u w:val="single"/>
        </w:rPr>
        <w:t>« Formateurs »</w:t>
      </w:r>
      <w:r>
        <w:rPr>
          <w:rFonts w:ascii="Calibri" w:hAnsi="Calibri" w:cs="Calibri"/>
          <w:sz w:val="22"/>
          <w:szCs w:val="22"/>
        </w:rPr>
        <w:t> : formateurs désignés par l’opérateur-utilisateur.</w:t>
      </w:r>
    </w:p>
    <w:p>
      <w:pPr>
        <w:shd w:val="clear" w:color="auto" w:fill="FFFFFF"/>
        <w:spacing w:after="120"/>
        <w:outlineLvl w:val="0"/>
        <w:rPr>
          <w:rFonts w:ascii="Calibri" w:hAnsi="Calibri" w:cs="Calibri"/>
          <w:b/>
          <w:bCs/>
          <w:sz w:val="22"/>
          <w:szCs w:val="22"/>
        </w:rPr>
      </w:pPr>
      <w:r>
        <w:rPr>
          <w:rFonts w:ascii="Calibri" w:hAnsi="Calibri" w:cs="Calibri"/>
          <w:b/>
          <w:bCs/>
          <w:sz w:val="22"/>
          <w:szCs w:val="22"/>
        </w:rPr>
        <w:t>Article 4 : Engagements généraux des partenaires</w:t>
      </w:r>
    </w:p>
    <w:p>
      <w:pPr>
        <w:shd w:val="clear" w:color="auto" w:fill="FFFFFF"/>
        <w:spacing w:after="120"/>
        <w:rPr>
          <w:rFonts w:ascii="Calibri" w:hAnsi="Calibri" w:cs="Calibri"/>
          <w:sz w:val="22"/>
          <w:szCs w:val="22"/>
        </w:rPr>
      </w:pPr>
      <w:r>
        <w:rPr>
          <w:rFonts w:ascii="Calibri" w:hAnsi="Calibri" w:cs="Calibri"/>
          <w:sz w:val="22"/>
          <w:szCs w:val="22"/>
        </w:rPr>
        <w:t xml:space="preserve">§1. </w:t>
      </w:r>
      <w:r>
        <w:rPr>
          <w:rFonts w:ascii="Calibri" w:hAnsi="Calibri" w:cs="Calibri"/>
          <w:sz w:val="22"/>
          <w:szCs w:val="22"/>
          <w:u w:val="single"/>
        </w:rPr>
        <w:t>Engagements du Pouvoir organisateur auprès duquel est établi le CTA</w:t>
      </w:r>
      <w:r>
        <w:rPr>
          <w:rFonts w:ascii="Calibri" w:hAnsi="Calibri" w:cs="Calibri"/>
          <w:sz w:val="22"/>
          <w:szCs w:val="22"/>
        </w:rPr>
        <w:t xml:space="preserve"> :</w:t>
      </w:r>
    </w:p>
    <w:p>
      <w:pPr>
        <w:widowControl w:val="0"/>
        <w:numPr>
          <w:ilvl w:val="0"/>
          <w:numId w:val="77"/>
        </w:numPr>
        <w:shd w:val="clear" w:color="auto" w:fill="FFFFFF"/>
        <w:autoSpaceDE w:val="0"/>
        <w:autoSpaceDN w:val="0"/>
        <w:adjustRightInd w:val="0"/>
        <w:spacing w:after="120"/>
        <w:ind w:left="426"/>
        <w:jc w:val="both"/>
        <w:rPr>
          <w:rFonts w:ascii="Calibri" w:hAnsi="Calibri" w:cs="Calibri"/>
          <w:sz w:val="22"/>
          <w:szCs w:val="22"/>
        </w:rPr>
      </w:pPr>
      <w:r>
        <w:rPr>
          <w:rFonts w:ascii="Calibri" w:hAnsi="Calibri" w:cs="Calibri"/>
          <w:sz w:val="22"/>
          <w:szCs w:val="22"/>
        </w:rPr>
        <w:t>Le CTA accueille sans discrimination les demandeurs d’emploi, les travailleurs, les apprenants et formateurs de l’IFAPME, de l’AWIPH et du SFPME, et dans le cas où ils sont formés dans un CTA par des formateurs d’un Centre de compétence ou de référence, les élèves et les enseignants issus des établissements d'enseignement obligatoire (dernier cycle de l’enseignement primaire ; premier cycle de l’enseignement secondaire ; 3</w:t>
      </w:r>
      <w:r>
        <w:rPr>
          <w:rFonts w:ascii="Calibri" w:hAnsi="Calibri" w:cs="Calibri"/>
          <w:sz w:val="22"/>
          <w:szCs w:val="22"/>
          <w:vertAlign w:val="superscript"/>
        </w:rPr>
        <w:t>e</w:t>
      </w:r>
      <w:r>
        <w:rPr>
          <w:rFonts w:ascii="Calibri" w:hAnsi="Calibri" w:cs="Calibri"/>
          <w:sz w:val="22"/>
          <w:szCs w:val="22"/>
        </w:rPr>
        <w:t xml:space="preserve"> et 4</w:t>
      </w:r>
      <w:r>
        <w:rPr>
          <w:rFonts w:ascii="Calibri" w:hAnsi="Calibri" w:cs="Calibri"/>
          <w:sz w:val="22"/>
          <w:szCs w:val="22"/>
          <w:vertAlign w:val="superscript"/>
        </w:rPr>
        <w:t>e</w:t>
      </w:r>
      <w:r>
        <w:rPr>
          <w:rFonts w:ascii="Calibri" w:hAnsi="Calibri" w:cs="Calibri"/>
          <w:sz w:val="22"/>
          <w:szCs w:val="22"/>
        </w:rPr>
        <w:t xml:space="preserve"> degré de la section de qualification de l’enseignement secondaire ordinaire, de plein exercice ou en alternance ; 3</w:t>
      </w:r>
      <w:r>
        <w:rPr>
          <w:rFonts w:ascii="Calibri" w:hAnsi="Calibri" w:cs="Calibri"/>
          <w:sz w:val="22"/>
          <w:szCs w:val="22"/>
          <w:vertAlign w:val="superscript"/>
        </w:rPr>
        <w:t>e</w:t>
      </w:r>
      <w:r>
        <w:rPr>
          <w:rFonts w:ascii="Calibri" w:hAnsi="Calibri" w:cs="Calibri"/>
          <w:sz w:val="22"/>
          <w:szCs w:val="22"/>
        </w:rPr>
        <w:t xml:space="preserve"> degré de la section de qualification de l’enseignement secondaire spécialisé de forme 4, de plein exercice et en alternance ; 3</w:t>
      </w:r>
      <w:r>
        <w:rPr>
          <w:rFonts w:ascii="Calibri" w:hAnsi="Calibri" w:cs="Calibri"/>
          <w:sz w:val="22"/>
          <w:szCs w:val="22"/>
          <w:vertAlign w:val="superscript"/>
        </w:rPr>
        <w:t>e</w:t>
      </w:r>
      <w:r>
        <w:rPr>
          <w:rFonts w:ascii="Calibri" w:hAnsi="Calibri" w:cs="Calibri"/>
          <w:sz w:val="22"/>
          <w:szCs w:val="22"/>
        </w:rPr>
        <w:t xml:space="preserve"> phase de l’enseignement secondaire spécialisé de forme 3, de plein exercice et en alternance ; 3</w:t>
      </w:r>
      <w:r>
        <w:rPr>
          <w:rFonts w:ascii="Calibri" w:hAnsi="Calibri" w:cs="Calibri"/>
          <w:sz w:val="22"/>
          <w:szCs w:val="22"/>
          <w:vertAlign w:val="superscript"/>
        </w:rPr>
        <w:t>e</w:t>
      </w:r>
      <w:r>
        <w:rPr>
          <w:rFonts w:ascii="Calibri" w:hAnsi="Calibri" w:cs="Calibri"/>
          <w:sz w:val="22"/>
          <w:szCs w:val="22"/>
        </w:rPr>
        <w:t xml:space="preserve"> degré de l’enseignement technique de la section transition de l’enseignement secondaire ordinaire), d'enseignement de promotion sociale et d'enseignement supérieur.</w:t>
      </w:r>
    </w:p>
    <w:p>
      <w:pPr>
        <w:widowControl w:val="0"/>
        <w:numPr>
          <w:ilvl w:val="0"/>
          <w:numId w:val="77"/>
        </w:numPr>
        <w:shd w:val="clear" w:color="auto" w:fill="FFFFFF"/>
        <w:autoSpaceDE w:val="0"/>
        <w:autoSpaceDN w:val="0"/>
        <w:adjustRightInd w:val="0"/>
        <w:spacing w:after="120"/>
        <w:ind w:left="426" w:right="11"/>
        <w:jc w:val="both"/>
        <w:rPr>
          <w:rFonts w:ascii="Calibri" w:hAnsi="Calibri" w:cs="Calibri"/>
          <w:sz w:val="22"/>
          <w:szCs w:val="22"/>
        </w:rPr>
      </w:pPr>
      <w:r>
        <w:rPr>
          <w:rFonts w:ascii="Calibri" w:hAnsi="Calibri" w:cs="Calibri"/>
          <w:sz w:val="22"/>
          <w:szCs w:val="22"/>
        </w:rPr>
        <w:t>Le CTA met à disposition de l’opérateur-utilisateur l'infrastructure, les locaux équipés, le matériel didactique nécessaire au déroulement des formations ainsi que le personnel administratif de liaison. Ces équipements doivent être en parfait ordre de marche et respecter toutes les normes légales (sécurité, environnement, etc.).</w:t>
      </w:r>
    </w:p>
    <w:p>
      <w:pPr>
        <w:numPr>
          <w:ilvl w:val="0"/>
          <w:numId w:val="77"/>
        </w:numPr>
        <w:shd w:val="clear" w:color="auto" w:fill="FFFFFF"/>
        <w:tabs>
          <w:tab w:val="left" w:pos="-3686"/>
        </w:tabs>
        <w:spacing w:after="120"/>
        <w:ind w:left="426" w:right="14"/>
        <w:jc w:val="both"/>
        <w:rPr>
          <w:rFonts w:ascii="Calibri" w:hAnsi="Calibri" w:cs="Calibri"/>
          <w:sz w:val="22"/>
          <w:szCs w:val="22"/>
        </w:rPr>
      </w:pPr>
      <w:r>
        <w:rPr>
          <w:rFonts w:ascii="Calibri" w:hAnsi="Calibri" w:cs="Calibri"/>
          <w:sz w:val="22"/>
          <w:szCs w:val="22"/>
        </w:rPr>
        <w:t>Le CTA s’engage à ne pas utiliser les informations personnelles transmises par l’opérateur-utilisateur à des fins publicitaires ou commerciales.</w:t>
      </w:r>
    </w:p>
    <w:p>
      <w:pPr>
        <w:shd w:val="clear" w:color="auto" w:fill="FFFFFF"/>
        <w:spacing w:after="120"/>
        <w:jc w:val="both"/>
        <w:rPr>
          <w:rFonts w:ascii="Calibri" w:hAnsi="Calibri" w:cs="Calibri"/>
          <w:sz w:val="22"/>
          <w:szCs w:val="22"/>
        </w:rPr>
      </w:pPr>
      <w:r>
        <w:rPr>
          <w:rFonts w:ascii="Calibri" w:hAnsi="Calibri" w:cs="Calibri"/>
          <w:sz w:val="22"/>
          <w:szCs w:val="22"/>
        </w:rPr>
        <w:br w:type="page"/>
      </w:r>
      <w:r>
        <w:rPr>
          <w:rFonts w:ascii="Calibri" w:hAnsi="Calibri" w:cs="Calibri"/>
          <w:sz w:val="22"/>
          <w:szCs w:val="22"/>
        </w:rPr>
        <w:lastRenderedPageBreak/>
        <w:t xml:space="preserve">§2. </w:t>
      </w:r>
      <w:r>
        <w:rPr>
          <w:rFonts w:ascii="Calibri" w:hAnsi="Calibri" w:cs="Calibri"/>
          <w:sz w:val="22"/>
          <w:szCs w:val="22"/>
          <w:u w:val="single"/>
        </w:rPr>
        <w:t>Engagements de l’opérateur-utilisateur</w:t>
      </w:r>
    </w:p>
    <w:p>
      <w:pPr>
        <w:widowControl w:val="0"/>
        <w:numPr>
          <w:ilvl w:val="0"/>
          <w:numId w:val="78"/>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 charge de demander l’accès aux équipements du CTA auprès du coordonnateur de ce dernier qui établit, avec l’opérateur-utilisateur, un calendrier de travail.</w:t>
      </w:r>
    </w:p>
    <w:p>
      <w:pPr>
        <w:widowControl w:val="0"/>
        <w:numPr>
          <w:ilvl w:val="0"/>
          <w:numId w:val="78"/>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faire encadrer les stagiaires par des formateurs pouvant attester d’une maitrise des équipements mis à disposition par le CTA, soit au moyen d’une attestation délivrée, soit au terme d’une formation préalable soit en raison d’une expérience professionnelle suffisante ;</w:t>
      </w:r>
    </w:p>
    <w:p>
      <w:pPr>
        <w:widowControl w:val="0"/>
        <w:numPr>
          <w:ilvl w:val="0"/>
          <w:numId w:val="78"/>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Les stagiaires et les formateurs de l'opérateur-utilisateur s’engagent à respecter les dispositions du règlement d'ordre intérieur du CTA pendant toute la durée de la formation ;</w:t>
      </w:r>
    </w:p>
    <w:p>
      <w:pPr>
        <w:widowControl w:val="0"/>
        <w:numPr>
          <w:ilvl w:val="0"/>
          <w:numId w:val="78"/>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utiliser en bon père de famille les équipements mis à sa disposition par le CTA ;</w:t>
      </w:r>
    </w:p>
    <w:p>
      <w:pPr>
        <w:widowControl w:val="0"/>
        <w:numPr>
          <w:ilvl w:val="0"/>
          <w:numId w:val="78"/>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fournir au coordonnateur du CTA, au plus tard le premier jour de la formation, une liste complète des stagiaires et des enseignants-formateurs inscrits aux formations et la preuve que ceux-ci sont assurés pendant toute la durée de la formation. La liste comprendra les noms, prénoms et dates de naissance de chacun des stagiaires et de chacun des enseignants-formateurs. La transmission de ces informations est contractuelle. La non transmission de ces informations peut entraîner l’annulation de la formation ;</w:t>
      </w:r>
    </w:p>
    <w:p>
      <w:pPr>
        <w:widowControl w:val="0"/>
        <w:numPr>
          <w:ilvl w:val="0"/>
          <w:numId w:val="78"/>
        </w:numPr>
        <w:shd w:val="clear" w:color="auto" w:fill="FFFFFF"/>
        <w:tabs>
          <w:tab w:val="left" w:pos="426"/>
        </w:tabs>
        <w:autoSpaceDE w:val="0"/>
        <w:autoSpaceDN w:val="0"/>
        <w:adjustRightInd w:val="0"/>
        <w:spacing w:after="120"/>
        <w:ind w:left="426" w:right="36"/>
        <w:jc w:val="both"/>
        <w:rPr>
          <w:rFonts w:ascii="Calibri" w:hAnsi="Calibri" w:cs="Calibri"/>
          <w:sz w:val="22"/>
          <w:szCs w:val="22"/>
        </w:rPr>
      </w:pPr>
      <w:r>
        <w:rPr>
          <w:rFonts w:ascii="Calibri" w:hAnsi="Calibri" w:cs="Calibri"/>
          <w:sz w:val="22"/>
          <w:szCs w:val="22"/>
        </w:rPr>
        <w:t>L’opérateur-utilisateur s’engage à expliquer aux stagiaires qu’il envoie en formation au sein du CTA l’utilisation faite des données personnelles fournies au coordonnateur du centre avant chaque formation (voir article 8), ainsi que leur droit de demander au responsable du traitement final la rectification ou l'effacement de données à caractère personnel, ou une limitation du traitement des données à caractère personnel relatives à la personne concernée, leur droit de s'opposer à ce traitement et leur droit d'introduire une réclamation auprès d'une autorité de contrôle ;</w:t>
      </w:r>
    </w:p>
    <w:p>
      <w:pPr>
        <w:widowControl w:val="0"/>
        <w:numPr>
          <w:ilvl w:val="0"/>
          <w:numId w:val="78"/>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L'opérateur-utilisateur s’engage à assurer l’organisation et le contrôle du transport et de l'hébergement des stagiaires et des formateurs ;</w:t>
      </w:r>
    </w:p>
    <w:p>
      <w:pPr>
        <w:widowControl w:val="0"/>
        <w:numPr>
          <w:ilvl w:val="0"/>
          <w:numId w:val="78"/>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Dans le cas où l'opérateur-utilisateur voudrait réaliser et emporter un produit fini, il est tenu d'en informer le coordonnateur du CTA lors de sa demande d'accès au CTA. Celui-ci se réserve néanmoins le droit de ne pas accéder à cette requête</w:t>
      </w:r>
      <w:r>
        <w:rPr>
          <w:rStyle w:val="Appelnotedebasdep"/>
          <w:rFonts w:ascii="Calibri" w:hAnsi="Calibri" w:cs="Calibri"/>
          <w:sz w:val="22"/>
          <w:szCs w:val="22"/>
        </w:rPr>
        <w:footnoteReference w:id="27"/>
      </w:r>
      <w:r>
        <w:rPr>
          <w:rFonts w:ascii="Calibri" w:hAnsi="Calibri" w:cs="Calibri"/>
          <w:sz w:val="22"/>
          <w:szCs w:val="22"/>
        </w:rPr>
        <w:t> ;</w:t>
      </w:r>
    </w:p>
    <w:p>
      <w:pPr>
        <w:numPr>
          <w:ilvl w:val="0"/>
          <w:numId w:val="78"/>
        </w:numPr>
        <w:shd w:val="clear" w:color="auto" w:fill="FFFFFF"/>
        <w:spacing w:after="240"/>
        <w:ind w:left="426"/>
        <w:jc w:val="both"/>
        <w:rPr>
          <w:rFonts w:ascii="Calibri" w:hAnsi="Calibri" w:cs="Calibri"/>
          <w:sz w:val="22"/>
          <w:szCs w:val="22"/>
        </w:rPr>
      </w:pPr>
      <w:r>
        <w:rPr>
          <w:rFonts w:ascii="Calibri" w:hAnsi="Calibri" w:cs="Calibri"/>
          <w:sz w:val="22"/>
          <w:szCs w:val="22"/>
        </w:rPr>
        <w:t>L’opérateur-utilisateur s’engage à participer à l’évaluation des CTA s’il est sollicité à cet égard.</w:t>
      </w:r>
    </w:p>
    <w:p>
      <w:pPr>
        <w:shd w:val="clear" w:color="auto" w:fill="FFFFFF"/>
        <w:spacing w:after="120"/>
        <w:rPr>
          <w:rFonts w:ascii="Calibri" w:hAnsi="Calibri" w:cs="Calibri"/>
          <w:b/>
          <w:bCs/>
          <w:sz w:val="22"/>
          <w:szCs w:val="22"/>
        </w:rPr>
      </w:pPr>
      <w:r>
        <w:rPr>
          <w:rFonts w:ascii="Calibri" w:hAnsi="Calibri" w:cs="Calibri"/>
          <w:b/>
          <w:bCs/>
          <w:sz w:val="22"/>
          <w:szCs w:val="22"/>
        </w:rPr>
        <w:t>Article 5 : Organisation de la formation</w:t>
      </w:r>
    </w:p>
    <w:p>
      <w:pPr>
        <w:shd w:val="clear" w:color="auto" w:fill="FFFFFF"/>
        <w:spacing w:after="120"/>
        <w:ind w:right="36"/>
        <w:jc w:val="both"/>
        <w:rPr>
          <w:rFonts w:ascii="Calibri" w:hAnsi="Calibri" w:cs="Calibri"/>
          <w:sz w:val="22"/>
          <w:szCs w:val="22"/>
        </w:rPr>
      </w:pPr>
      <w:r>
        <w:rPr>
          <w:rFonts w:ascii="Calibri" w:hAnsi="Calibri" w:cs="Calibri"/>
          <w:sz w:val="22"/>
          <w:szCs w:val="22"/>
        </w:rPr>
        <w:t xml:space="preserve">Chaque formation peut faire l'objet d'une convention spécifique entre le CTA et l'opérateur-utilisateur précisant l'intitulé de la formation, les dates de formation, le nombre d'heures de formation, le nombre de stagiaires concernés. </w:t>
      </w:r>
    </w:p>
    <w:p>
      <w:pPr>
        <w:spacing w:after="120"/>
        <w:jc w:val="both"/>
        <w:rPr>
          <w:rFonts w:ascii="Calibri" w:hAnsi="Calibri" w:cs="Calibri"/>
          <w:sz w:val="22"/>
          <w:szCs w:val="22"/>
        </w:rPr>
      </w:pPr>
      <w:r>
        <w:rPr>
          <w:rFonts w:ascii="Calibri" w:hAnsi="Calibri" w:cs="Calibri"/>
          <w:sz w:val="22"/>
          <w:szCs w:val="22"/>
        </w:rPr>
        <w:t xml:space="preserve">Dans tous les cas, l’opérateur-utilisateur s’engage à fournir au CTA la liste des participants ainsi que l’identité du formateur </w:t>
      </w:r>
      <w:r>
        <w:rPr>
          <w:rFonts w:ascii="Calibri" w:hAnsi="Calibri" w:cs="Calibri"/>
          <w:b/>
          <w:sz w:val="22"/>
          <w:szCs w:val="22"/>
          <w:u w:val="single"/>
        </w:rPr>
        <w:t>au plus tard le premier jour de la formation</w:t>
      </w:r>
      <w:r>
        <w:rPr>
          <w:rFonts w:ascii="Calibri" w:hAnsi="Calibri" w:cs="Calibri"/>
          <w:sz w:val="22"/>
          <w:szCs w:val="22"/>
        </w:rPr>
        <w:t>. Le CTA doit quant à lui obligatoirement communiquer les renseignements suivants aux futurs utilisateurs avant le début de la formation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 xml:space="preserve">le règlement d’ordre intérieur du CTA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le programme de la formation</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 xml:space="preserve">l’analyse des risques pour les équipements proposés </w:t>
      </w:r>
    </w:p>
    <w:p>
      <w:pPr>
        <w:rPr>
          <w:rFonts w:ascii="Calibri" w:hAnsi="Calibri" w:cs="Calibri"/>
          <w:sz w:val="22"/>
          <w:szCs w:val="22"/>
        </w:rPr>
      </w:pPr>
      <w:r>
        <w:rPr>
          <w:rFonts w:ascii="Calibri" w:hAnsi="Calibri" w:cs="Calibri"/>
          <w:sz w:val="22"/>
          <w:szCs w:val="22"/>
        </w:rPr>
        <w:br w:type="page"/>
      </w:r>
    </w:p>
    <w:p>
      <w:pPr>
        <w:shd w:val="clear" w:color="auto" w:fill="FFFFFF"/>
        <w:spacing w:after="240"/>
        <w:ind w:right="34"/>
        <w:jc w:val="both"/>
        <w:rPr>
          <w:rFonts w:ascii="Calibri" w:hAnsi="Calibri" w:cs="Calibri"/>
          <w:sz w:val="22"/>
          <w:szCs w:val="22"/>
        </w:rPr>
      </w:pPr>
      <w:r>
        <w:rPr>
          <w:rFonts w:ascii="Calibri" w:hAnsi="Calibri" w:cs="Calibri"/>
          <w:sz w:val="22"/>
          <w:szCs w:val="22"/>
        </w:rPr>
        <w:lastRenderedPageBreak/>
        <w:t>Un état des lieux est établi avant le début du cycle de chaque formation. En cas de constatation de dysfonctionnement des équipements, l'opérateur-utilisateur signalera la chose avant le début de la formation.</w:t>
      </w:r>
    </w:p>
    <w:p>
      <w:pPr>
        <w:widowControl w:val="0"/>
        <w:shd w:val="clear" w:color="auto" w:fill="FFFFFF"/>
        <w:autoSpaceDE w:val="0"/>
        <w:autoSpaceDN w:val="0"/>
        <w:adjustRightInd w:val="0"/>
        <w:spacing w:after="120"/>
        <w:ind w:right="6"/>
        <w:jc w:val="both"/>
        <w:rPr>
          <w:rFonts w:ascii="Calibri" w:hAnsi="Calibri" w:cs="Calibri"/>
          <w:b/>
          <w:bCs/>
          <w:sz w:val="22"/>
          <w:szCs w:val="22"/>
        </w:rPr>
      </w:pPr>
      <w:r>
        <w:rPr>
          <w:rFonts w:ascii="Calibri" w:hAnsi="Calibri" w:cs="Calibri"/>
          <w:b/>
          <w:bCs/>
          <w:sz w:val="22"/>
          <w:szCs w:val="22"/>
        </w:rPr>
        <w:t>Article 6 : Responsabilités des partenaires</w:t>
      </w:r>
    </w:p>
    <w:p>
      <w:pPr>
        <w:widowControl w:val="0"/>
        <w:shd w:val="clear" w:color="auto" w:fill="FFFFFF"/>
        <w:autoSpaceDE w:val="0"/>
        <w:autoSpaceDN w:val="0"/>
        <w:adjustRightInd w:val="0"/>
        <w:spacing w:after="120"/>
        <w:ind w:right="18"/>
        <w:jc w:val="both"/>
        <w:rPr>
          <w:rFonts w:ascii="Calibri" w:hAnsi="Calibri" w:cs="Calibri"/>
          <w:sz w:val="22"/>
          <w:szCs w:val="22"/>
        </w:rPr>
      </w:pPr>
      <w:r>
        <w:rPr>
          <w:rFonts w:ascii="Calibri" w:hAnsi="Calibri" w:cs="Calibri"/>
          <w:sz w:val="22"/>
          <w:szCs w:val="22"/>
        </w:rPr>
        <w:t>§1</w:t>
      </w:r>
      <w:r>
        <w:rPr>
          <w:rFonts w:ascii="Calibri" w:hAnsi="Calibri" w:cs="Calibri"/>
          <w:sz w:val="22"/>
          <w:szCs w:val="22"/>
          <w:vertAlign w:val="superscript"/>
        </w:rPr>
        <w:t>er</w:t>
      </w:r>
      <w:r>
        <w:rPr>
          <w:rFonts w:ascii="Calibri" w:hAnsi="Calibri" w:cs="Calibri"/>
          <w:sz w:val="22"/>
          <w:szCs w:val="22"/>
        </w:rPr>
        <w:t xml:space="preserve">. </w:t>
      </w:r>
      <w:r>
        <w:rPr>
          <w:rFonts w:ascii="Calibri" w:hAnsi="Calibri" w:cs="Calibri"/>
          <w:sz w:val="22"/>
          <w:szCs w:val="22"/>
          <w:u w:val="single"/>
        </w:rPr>
        <w:t>Responsabilités de l’opérateur-utilisateur</w:t>
      </w:r>
    </w:p>
    <w:p>
      <w:pPr>
        <w:widowControl w:val="0"/>
        <w:numPr>
          <w:ilvl w:val="0"/>
          <w:numId w:val="79"/>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 xml:space="preserve">L'opérateur-utilisateur veillera à ce que les formateurs et les stagiaires soient couverts pour l'ensemble des risques (responsabilité civile, accidents du travail, etc.) ; </w:t>
      </w:r>
    </w:p>
    <w:p>
      <w:pPr>
        <w:widowControl w:val="0"/>
        <w:numPr>
          <w:ilvl w:val="0"/>
          <w:numId w:val="79"/>
        </w:numPr>
        <w:shd w:val="clear" w:color="auto" w:fill="FFFFFF"/>
        <w:autoSpaceDE w:val="0"/>
        <w:autoSpaceDN w:val="0"/>
        <w:adjustRightInd w:val="0"/>
        <w:spacing w:after="120"/>
        <w:ind w:left="426" w:right="18"/>
        <w:jc w:val="both"/>
        <w:rPr>
          <w:rFonts w:ascii="Calibri" w:hAnsi="Calibri" w:cs="Calibri"/>
          <w:sz w:val="22"/>
          <w:szCs w:val="22"/>
        </w:rPr>
      </w:pPr>
      <w:r>
        <w:rPr>
          <w:rFonts w:ascii="Calibri" w:hAnsi="Calibri" w:cs="Calibri"/>
          <w:sz w:val="22"/>
          <w:szCs w:val="22"/>
        </w:rPr>
        <w:t>L'opérateur-utilisateur est responsable du comportement des personnes et des dégâts éventuels causés à l'infrastructure.</w:t>
      </w:r>
    </w:p>
    <w:p>
      <w:pPr>
        <w:widowControl w:val="0"/>
        <w:shd w:val="clear" w:color="auto" w:fill="FFFFFF"/>
        <w:autoSpaceDE w:val="0"/>
        <w:autoSpaceDN w:val="0"/>
        <w:adjustRightInd w:val="0"/>
        <w:spacing w:after="120"/>
        <w:ind w:right="18"/>
        <w:jc w:val="both"/>
        <w:rPr>
          <w:rFonts w:ascii="Calibri" w:hAnsi="Calibri" w:cs="Calibri"/>
          <w:sz w:val="22"/>
          <w:szCs w:val="22"/>
        </w:rPr>
      </w:pPr>
      <w:r>
        <w:rPr>
          <w:rFonts w:ascii="Calibri" w:hAnsi="Calibri" w:cs="Calibri"/>
          <w:sz w:val="22"/>
          <w:szCs w:val="22"/>
        </w:rPr>
        <w:t xml:space="preserve">§2. </w:t>
      </w:r>
      <w:r>
        <w:rPr>
          <w:rFonts w:ascii="Calibri" w:hAnsi="Calibri" w:cs="Calibri"/>
          <w:sz w:val="22"/>
          <w:szCs w:val="22"/>
          <w:u w:val="single"/>
        </w:rPr>
        <w:t>Responsabilités du CTA</w:t>
      </w:r>
    </w:p>
    <w:p>
      <w:pPr>
        <w:widowControl w:val="0"/>
        <w:shd w:val="clear" w:color="auto" w:fill="FFFFFF"/>
        <w:autoSpaceDE w:val="0"/>
        <w:autoSpaceDN w:val="0"/>
        <w:adjustRightInd w:val="0"/>
        <w:spacing w:after="240"/>
        <w:ind w:right="18"/>
        <w:jc w:val="both"/>
        <w:rPr>
          <w:rFonts w:ascii="Calibri" w:hAnsi="Calibri" w:cs="Calibri"/>
          <w:sz w:val="22"/>
          <w:szCs w:val="22"/>
        </w:rPr>
      </w:pPr>
      <w:r>
        <w:rPr>
          <w:rFonts w:ascii="Calibri" w:hAnsi="Calibri" w:cs="Calibri"/>
          <w:sz w:val="22"/>
          <w:szCs w:val="22"/>
        </w:rPr>
        <w:t>Le CTA ne pourra être tenu responsable que pour les dommages causés par la défectuosité des bâtiments et/ou équipements mis à disposition de l’opérateur- utilisateur.</w:t>
      </w:r>
    </w:p>
    <w:p>
      <w:pPr>
        <w:spacing w:after="120"/>
        <w:jc w:val="both"/>
        <w:outlineLvl w:val="0"/>
        <w:rPr>
          <w:rFonts w:ascii="Calibri" w:hAnsi="Calibri" w:cs="Calibri"/>
          <w:b/>
          <w:bCs/>
          <w:sz w:val="22"/>
          <w:szCs w:val="22"/>
        </w:rPr>
      </w:pPr>
      <w:r>
        <w:rPr>
          <w:rFonts w:ascii="Calibri" w:hAnsi="Calibri" w:cs="Calibri"/>
          <w:b/>
          <w:bCs/>
          <w:sz w:val="22"/>
          <w:szCs w:val="22"/>
        </w:rPr>
        <w:t>Article 7 : La prise en charge des frais</w:t>
      </w:r>
    </w:p>
    <w:p>
      <w:pPr>
        <w:pStyle w:val="xmsonormal"/>
        <w:shd w:val="clear" w:color="auto" w:fill="FFFFFF"/>
        <w:spacing w:before="0" w:beforeAutospacing="0" w:after="120" w:afterAutospacing="0"/>
        <w:jc w:val="both"/>
        <w:rPr>
          <w:rFonts w:ascii="Calibri" w:hAnsi="Calibri" w:cs="Calibri"/>
          <w:sz w:val="22"/>
          <w:szCs w:val="22"/>
          <w:lang w:val="fr-BE"/>
        </w:rPr>
      </w:pPr>
      <w:r>
        <w:rPr>
          <w:rFonts w:ascii="Calibri" w:hAnsi="Calibri" w:cs="Calibri"/>
          <w:sz w:val="22"/>
          <w:szCs w:val="22"/>
          <w:lang w:val="fr-BE"/>
        </w:rPr>
        <w:t xml:space="preserve">A l’exception des formations organisées à destination des élèves de l’enseignement obligatoire, les frais de consommables seront facturés trimestriellement par la Communauté française à l’opérateur-utilisateur </w:t>
      </w:r>
      <w:r>
        <w:rPr>
          <w:rFonts w:asciiTheme="minorHAnsi" w:hAnsiTheme="minorHAnsi" w:cstheme="minorHAnsi"/>
          <w:color w:val="000000"/>
          <w:sz w:val="22"/>
          <w:szCs w:val="22"/>
        </w:rPr>
        <w:t xml:space="preserve">sur base d'un montant forfaitaire de 10 € / 15 € / 20 € / 25 € </w:t>
      </w:r>
      <w:r>
        <w:rPr>
          <w:rStyle w:val="Appelnotedebasdep"/>
          <w:rFonts w:asciiTheme="minorHAnsi" w:hAnsiTheme="minorHAnsi" w:cstheme="minorHAnsi"/>
          <w:color w:val="000000"/>
          <w:sz w:val="22"/>
          <w:szCs w:val="22"/>
        </w:rPr>
        <w:footnoteReference w:id="28"/>
      </w:r>
      <w:r>
        <w:rPr>
          <w:rFonts w:asciiTheme="minorHAnsi" w:hAnsiTheme="minorHAnsi" w:cstheme="minorHAnsi"/>
          <w:color w:val="000000"/>
          <w:sz w:val="22"/>
          <w:szCs w:val="22"/>
        </w:rPr>
        <w:t xml:space="preserve"> par journée de formation/stagiaire</w:t>
      </w:r>
      <w:r>
        <w:rPr>
          <w:rStyle w:val="Appelnotedebasdep"/>
          <w:rFonts w:asciiTheme="minorHAnsi" w:hAnsiTheme="minorHAnsi" w:cstheme="minorHAnsi"/>
          <w:color w:val="000000"/>
          <w:sz w:val="22"/>
          <w:szCs w:val="22"/>
        </w:rPr>
        <w:footnoteReference w:id="29"/>
      </w:r>
      <w:r>
        <w:rPr>
          <w:rFonts w:asciiTheme="minorHAnsi" w:hAnsiTheme="minorHAnsi" w:cstheme="minorHAnsi"/>
          <w:sz w:val="22"/>
          <w:szCs w:val="22"/>
          <w:lang w:val="fr-BE"/>
        </w:rPr>
        <w:t>.</w:t>
      </w:r>
    </w:p>
    <w:p>
      <w:pPr>
        <w:pStyle w:val="xmsonormal"/>
        <w:shd w:val="clear" w:color="auto" w:fill="FFFFFF"/>
        <w:spacing w:before="0" w:beforeAutospacing="0" w:after="240" w:afterAutospacing="0"/>
        <w:jc w:val="both"/>
        <w:rPr>
          <w:rFonts w:ascii="Calibri" w:hAnsi="Calibri" w:cs="Calibri"/>
          <w:sz w:val="22"/>
          <w:szCs w:val="22"/>
          <w:u w:val="single"/>
          <w:lang w:val="fr-BE"/>
        </w:rPr>
      </w:pPr>
      <w:r>
        <w:rPr>
          <w:rFonts w:ascii="Calibri" w:hAnsi="Calibri" w:cs="Calibri"/>
          <w:sz w:val="22"/>
          <w:szCs w:val="22"/>
          <w:lang w:val="fr-BE"/>
        </w:rPr>
        <w:t>L’organisation, les frais de déplacement et les frais d’hébergement seront pris en charge par l’opérateur-utilisateur.</w:t>
      </w:r>
    </w:p>
    <w:p>
      <w:pPr>
        <w:shd w:val="clear" w:color="auto" w:fill="FFFFFF"/>
        <w:spacing w:after="120"/>
        <w:jc w:val="both"/>
        <w:rPr>
          <w:rFonts w:ascii="Calibri" w:hAnsi="Calibri" w:cs="Calibri"/>
          <w:b/>
          <w:sz w:val="22"/>
          <w:szCs w:val="22"/>
        </w:rPr>
      </w:pPr>
      <w:r>
        <w:rPr>
          <w:rFonts w:ascii="Calibri" w:hAnsi="Calibri" w:cs="Calibri"/>
          <w:b/>
          <w:sz w:val="22"/>
          <w:szCs w:val="22"/>
        </w:rPr>
        <w:t>Article 8 : Gestion des données personnelles</w:t>
      </w:r>
    </w:p>
    <w:p>
      <w:pPr>
        <w:widowControl w:val="0"/>
        <w:shd w:val="clear" w:color="auto" w:fill="FFFFFF"/>
        <w:tabs>
          <w:tab w:val="left" w:pos="426"/>
        </w:tabs>
        <w:autoSpaceDE w:val="0"/>
        <w:autoSpaceDN w:val="0"/>
        <w:adjustRightInd w:val="0"/>
        <w:spacing w:after="120"/>
        <w:ind w:right="36"/>
        <w:jc w:val="both"/>
        <w:rPr>
          <w:rFonts w:ascii="Calibri" w:hAnsi="Calibri" w:cs="Calibri"/>
          <w:sz w:val="22"/>
          <w:szCs w:val="22"/>
        </w:rPr>
      </w:pPr>
      <w:r>
        <w:rPr>
          <w:rFonts w:ascii="Calibri" w:hAnsi="Calibri" w:cs="Calibri"/>
          <w:sz w:val="22"/>
          <w:szCs w:val="22"/>
        </w:rPr>
        <w:t>Comme mentionné à l’article 4, § 2, 5°, l’opérateur-utilisateur s’engage à fournir au coordonnateur du CTA, au plus tard le premier jour de la formation, une liste complète des stagiaires et des enseignants-formateurs inscrits aux formations. La liste comprendra les noms, prénoms, sexes et dates de naissance de chacun des stagiaires et de chacun des enseignants-formateurs.</w:t>
      </w:r>
    </w:p>
    <w:p>
      <w:pPr>
        <w:widowControl w:val="0"/>
        <w:shd w:val="clear" w:color="auto" w:fill="FFFFFF"/>
        <w:tabs>
          <w:tab w:val="left" w:pos="426"/>
        </w:tabs>
        <w:autoSpaceDE w:val="0"/>
        <w:autoSpaceDN w:val="0"/>
        <w:adjustRightInd w:val="0"/>
        <w:spacing w:after="120"/>
        <w:ind w:right="36"/>
        <w:jc w:val="both"/>
        <w:rPr>
          <w:rFonts w:ascii="Calibri" w:hAnsi="Calibri" w:cs="Calibri"/>
          <w:sz w:val="22"/>
          <w:szCs w:val="22"/>
        </w:rPr>
      </w:pPr>
      <w:r>
        <w:rPr>
          <w:rFonts w:ascii="Calibri" w:hAnsi="Calibri" w:cs="Calibri"/>
          <w:sz w:val="22"/>
          <w:szCs w:val="22"/>
        </w:rPr>
        <w:t>Ces informations sont transmises à l’administration de la Fédération Wallonie-Bruxelles afin de :</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Calculer la fréquentation annuelle du CTA</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Verser la subvention annuelle octroyée par le Gouvernement de la Fédération Wallonie-Bruxelles</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Vérifier si l’opérateur-utilisateur a droit ou non au remboursement d’éventuels frais de déplacement et/ou d’hébergement</w:t>
      </w:r>
    </w:p>
    <w:p>
      <w:pPr>
        <w:numPr>
          <w:ilvl w:val="0"/>
          <w:numId w:val="44"/>
        </w:numPr>
        <w:spacing w:after="120"/>
        <w:ind w:left="709" w:hanging="425"/>
        <w:jc w:val="both"/>
        <w:rPr>
          <w:rFonts w:ascii="Calibri" w:hAnsi="Calibri" w:cs="Calibri"/>
          <w:sz w:val="22"/>
          <w:szCs w:val="22"/>
        </w:rPr>
      </w:pPr>
      <w:r>
        <w:rPr>
          <w:rFonts w:ascii="Calibri" w:hAnsi="Calibri" w:cs="Calibri"/>
          <w:sz w:val="22"/>
          <w:szCs w:val="22"/>
        </w:rPr>
        <w:t>Transmettre aux Gouvernements des entités fédérées ayant conclu les accords de coopération, ainsi qu’au Fonds européen de développement régional les analyses statistiques prévues réglementairement</w:t>
      </w:r>
    </w:p>
    <w:p>
      <w:pPr>
        <w:spacing w:after="120"/>
        <w:jc w:val="both"/>
        <w:rPr>
          <w:rFonts w:ascii="Calibri" w:hAnsi="Calibri" w:cs="Calibri"/>
          <w:sz w:val="22"/>
          <w:szCs w:val="22"/>
        </w:rPr>
      </w:pPr>
      <w:r>
        <w:rPr>
          <w:rFonts w:ascii="Calibri" w:hAnsi="Calibri" w:cs="Calibri"/>
          <w:sz w:val="22"/>
          <w:szCs w:val="22"/>
        </w:rPr>
        <w:t>Toutes les informations personnelles sont anonymisées avant traitement.</w:t>
      </w:r>
    </w:p>
    <w:p>
      <w:pPr>
        <w:spacing w:after="120"/>
        <w:jc w:val="both"/>
        <w:rPr>
          <w:rFonts w:ascii="Calibri" w:hAnsi="Calibri" w:cs="Calibri"/>
          <w:sz w:val="22"/>
          <w:szCs w:val="22"/>
        </w:rPr>
      </w:pPr>
      <w:r>
        <w:rPr>
          <w:rFonts w:ascii="Calibri" w:hAnsi="Calibri" w:cs="Calibri"/>
          <w:sz w:val="22"/>
          <w:szCs w:val="22"/>
        </w:rPr>
        <w:t>Les données personnelles sont conservées 10 ans au sein de l’administration. Une copie est également conservée au sein du CTA durant la même période.</w:t>
      </w:r>
    </w:p>
    <w:p>
      <w:pPr>
        <w:spacing w:after="120"/>
        <w:jc w:val="both"/>
        <w:rPr>
          <w:rFonts w:ascii="Calibri" w:hAnsi="Calibri" w:cs="Calibri"/>
          <w:sz w:val="22"/>
          <w:szCs w:val="22"/>
        </w:rPr>
      </w:pPr>
      <w:r>
        <w:rPr>
          <w:rFonts w:ascii="Calibri" w:hAnsi="Calibri" w:cs="Calibri"/>
          <w:sz w:val="22"/>
          <w:szCs w:val="22"/>
        </w:rPr>
        <w:t>Aucune donnée n’est utilisée à des fins publicitaires ou commerciales.</w:t>
      </w:r>
    </w:p>
    <w:p>
      <w:pPr>
        <w:spacing w:after="120"/>
        <w:jc w:val="both"/>
        <w:rPr>
          <w:rFonts w:ascii="Calibri" w:hAnsi="Calibri" w:cs="Calibri"/>
          <w:sz w:val="22"/>
          <w:szCs w:val="22"/>
        </w:rPr>
      </w:pPr>
      <w:r>
        <w:rPr>
          <w:rFonts w:ascii="Calibri" w:hAnsi="Calibri" w:cs="Calibri"/>
          <w:sz w:val="22"/>
          <w:szCs w:val="22"/>
        </w:rPr>
        <w:lastRenderedPageBreak/>
        <w:t>Pour toute information complémentaire, il convient de contacter le délégué à la protection des données désigné par le Pouvoir organisateur dont dépend le CTA</w:t>
      </w:r>
    </w:p>
    <w:p>
      <w:pPr>
        <w:shd w:val="clear" w:color="auto" w:fill="FFFFFF"/>
        <w:spacing w:after="120"/>
        <w:jc w:val="both"/>
        <w:rPr>
          <w:rFonts w:ascii="Calibri" w:hAnsi="Calibri" w:cs="Calibri"/>
          <w:b/>
          <w:sz w:val="22"/>
          <w:szCs w:val="22"/>
        </w:rPr>
      </w:pPr>
      <w:r>
        <w:rPr>
          <w:rFonts w:ascii="Calibri" w:hAnsi="Calibri" w:cs="Calibri"/>
          <w:b/>
          <w:sz w:val="22"/>
          <w:szCs w:val="22"/>
        </w:rPr>
        <w:t>Article 9 : Sanction</w:t>
      </w:r>
    </w:p>
    <w:p>
      <w:pPr>
        <w:shd w:val="clear" w:color="auto" w:fill="FFFFFF"/>
        <w:spacing w:after="240"/>
        <w:ind w:right="36"/>
        <w:jc w:val="both"/>
        <w:rPr>
          <w:rFonts w:ascii="Calibri" w:hAnsi="Calibri" w:cs="Calibri"/>
          <w:sz w:val="22"/>
          <w:szCs w:val="22"/>
        </w:rPr>
      </w:pPr>
      <w:r>
        <w:rPr>
          <w:rFonts w:ascii="Calibri" w:hAnsi="Calibri" w:cs="Calibri"/>
          <w:sz w:val="22"/>
          <w:szCs w:val="22"/>
        </w:rPr>
        <w:t>En cas d’annulation de la formation réservée moins d’une semaine avant le début de celle-ci, un montant équivalent à 50 % du coût total de la formation réservée sera facturée à l’opérateur-utilisateur.</w:t>
      </w:r>
    </w:p>
    <w:p>
      <w:pPr>
        <w:shd w:val="clear" w:color="auto" w:fill="FFFFFF"/>
        <w:spacing w:after="120"/>
        <w:outlineLvl w:val="0"/>
        <w:rPr>
          <w:rFonts w:ascii="Calibri" w:hAnsi="Calibri" w:cs="Calibri"/>
          <w:b/>
          <w:bCs/>
          <w:sz w:val="22"/>
          <w:szCs w:val="22"/>
        </w:rPr>
      </w:pPr>
      <w:r>
        <w:rPr>
          <w:rFonts w:ascii="Calibri" w:hAnsi="Calibri" w:cs="Calibri"/>
          <w:b/>
          <w:bCs/>
          <w:sz w:val="22"/>
          <w:szCs w:val="22"/>
        </w:rPr>
        <w:t>Article 10 : Durée de la convention</w:t>
      </w:r>
    </w:p>
    <w:p>
      <w:pPr>
        <w:shd w:val="clear" w:color="auto" w:fill="FFFFFF"/>
        <w:spacing w:after="120"/>
        <w:jc w:val="both"/>
        <w:rPr>
          <w:rFonts w:ascii="Calibri" w:hAnsi="Calibri" w:cs="Calibri"/>
          <w:sz w:val="22"/>
          <w:szCs w:val="22"/>
        </w:rPr>
      </w:pPr>
      <w:r>
        <w:rPr>
          <w:rFonts w:ascii="Calibri" w:hAnsi="Calibri" w:cs="Calibri"/>
          <w:sz w:val="22"/>
          <w:szCs w:val="22"/>
        </w:rPr>
        <w:t>La présente convention est conclue par année scolaire et sera reconduite tacitement l’année scolaire suivante.</w:t>
      </w:r>
    </w:p>
    <w:p>
      <w:pPr>
        <w:shd w:val="clear" w:color="auto" w:fill="FFFFFF"/>
        <w:spacing w:after="120"/>
        <w:jc w:val="both"/>
        <w:rPr>
          <w:rFonts w:ascii="Calibri" w:hAnsi="Calibri" w:cs="Calibri"/>
          <w:sz w:val="22"/>
          <w:szCs w:val="22"/>
        </w:rPr>
      </w:pPr>
      <w:r>
        <w:rPr>
          <w:rFonts w:ascii="Calibri" w:hAnsi="Calibri" w:cs="Calibri"/>
          <w:sz w:val="22"/>
          <w:szCs w:val="22"/>
        </w:rPr>
        <w:t>Elle pourra être dénoncée à la demande d’une des parties, moyennant un préavis de trois mois via l’envoi d’un recommandé.</w:t>
      </w:r>
    </w:p>
    <w:p>
      <w:pPr>
        <w:shd w:val="clear" w:color="auto" w:fill="FFFFFF"/>
        <w:tabs>
          <w:tab w:val="left" w:leader="dot" w:pos="2023"/>
        </w:tabs>
        <w:spacing w:after="120"/>
        <w:jc w:val="both"/>
        <w:rPr>
          <w:rFonts w:ascii="Calibri" w:hAnsi="Calibri" w:cs="Calibri"/>
          <w:sz w:val="22"/>
          <w:szCs w:val="22"/>
        </w:rPr>
      </w:pPr>
    </w:p>
    <w:p>
      <w:pPr>
        <w:shd w:val="clear" w:color="auto" w:fill="FFFFFF"/>
        <w:tabs>
          <w:tab w:val="left" w:leader="dot" w:pos="2023"/>
        </w:tabs>
        <w:spacing w:after="120"/>
        <w:jc w:val="both"/>
        <w:rPr>
          <w:rFonts w:ascii="Calibri" w:hAnsi="Calibri" w:cs="Calibri"/>
          <w:sz w:val="22"/>
          <w:szCs w:val="22"/>
        </w:rPr>
      </w:pPr>
    </w:p>
    <w:p>
      <w:pPr>
        <w:shd w:val="clear" w:color="auto" w:fill="FFFFFF"/>
        <w:tabs>
          <w:tab w:val="left" w:leader="dot" w:pos="2023"/>
        </w:tabs>
        <w:spacing w:after="120"/>
        <w:jc w:val="both"/>
        <w:rPr>
          <w:rFonts w:ascii="Calibri" w:hAnsi="Calibri" w:cs="Calibri"/>
          <w:sz w:val="22"/>
          <w:szCs w:val="22"/>
        </w:rPr>
      </w:pPr>
      <w:r>
        <w:rPr>
          <w:rFonts w:ascii="Calibri" w:hAnsi="Calibri" w:cs="Calibri"/>
          <w:sz w:val="22"/>
          <w:szCs w:val="22"/>
        </w:rPr>
        <w:t>Fait le …/…/20..… en 2 exemplaires signés respectivement par chacune des parties.</w:t>
      </w:r>
    </w:p>
    <w:p>
      <w:pPr>
        <w:tabs>
          <w:tab w:val="left" w:pos="0"/>
          <w:tab w:val="right" w:pos="9000"/>
        </w:tabs>
        <w:suppressAutoHyphens/>
        <w:spacing w:after="120"/>
        <w:rPr>
          <w:rFonts w:ascii="Calibri" w:hAnsi="Calibri" w:cs="Calibri"/>
          <w:sz w:val="22"/>
          <w:szCs w:val="22"/>
        </w:rPr>
      </w:pPr>
    </w:p>
    <w:p>
      <w:pPr>
        <w:tabs>
          <w:tab w:val="left" w:pos="0"/>
          <w:tab w:val="right" w:pos="9000"/>
        </w:tabs>
        <w:suppressAutoHyphens/>
        <w:spacing w:after="120"/>
        <w:rPr>
          <w:rFonts w:ascii="Calibri" w:hAnsi="Calibri" w:cs="Calibri"/>
          <w:sz w:val="22"/>
          <w:szCs w:val="22"/>
        </w:rPr>
      </w:pPr>
    </w:p>
    <w:p>
      <w:pPr>
        <w:tabs>
          <w:tab w:val="left" w:pos="0"/>
          <w:tab w:val="right" w:pos="9000"/>
        </w:tabs>
        <w:suppressAutoHyphens/>
        <w:spacing w:after="120"/>
        <w:rPr>
          <w:rFonts w:ascii="Calibri" w:hAnsi="Calibri" w:cs="Calibri"/>
          <w:sz w:val="22"/>
          <w:szCs w:val="22"/>
        </w:rPr>
      </w:pPr>
    </w:p>
    <w:p>
      <w:pPr>
        <w:tabs>
          <w:tab w:val="left" w:pos="0"/>
          <w:tab w:val="right" w:pos="9000"/>
        </w:tabs>
        <w:suppressAutoHyphens/>
        <w:spacing w:after="120"/>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19"/>
        <w:gridCol w:w="4709"/>
      </w:tblGrid>
      <w:tr>
        <w:trPr>
          <w:trHeight w:val="2672"/>
        </w:trPr>
        <w:tc>
          <w:tcPr>
            <w:tcW w:w="4219" w:type="dxa"/>
          </w:tcPr>
          <w:p>
            <w:pPr>
              <w:tabs>
                <w:tab w:val="left" w:pos="0"/>
                <w:tab w:val="right" w:pos="9000"/>
              </w:tabs>
              <w:suppressAutoHyphens/>
              <w:spacing w:after="120"/>
              <w:jc w:val="center"/>
              <w:rPr>
                <w:rFonts w:ascii="Calibri" w:hAnsi="Calibri" w:cs="Calibri"/>
                <w:sz w:val="22"/>
                <w:szCs w:val="22"/>
              </w:rPr>
            </w:pPr>
          </w:p>
          <w:p>
            <w:pPr>
              <w:tabs>
                <w:tab w:val="left" w:pos="0"/>
                <w:tab w:val="right" w:pos="9000"/>
              </w:tabs>
              <w:suppressAutoHyphens/>
              <w:spacing w:after="120"/>
              <w:jc w:val="center"/>
              <w:rPr>
                <w:rFonts w:ascii="Calibri" w:hAnsi="Calibri" w:cs="Calibri"/>
                <w:sz w:val="22"/>
                <w:szCs w:val="22"/>
              </w:rPr>
            </w:pPr>
            <w:r>
              <w:rPr>
                <w:rFonts w:ascii="Calibri" w:hAnsi="Calibri" w:cs="Calibri"/>
                <w:sz w:val="22"/>
                <w:szCs w:val="22"/>
              </w:rPr>
              <w:t>Pour le CTA,</w:t>
            </w:r>
          </w:p>
          <w:p>
            <w:pPr>
              <w:tabs>
                <w:tab w:val="left" w:pos="0"/>
                <w:tab w:val="right" w:pos="9000"/>
              </w:tabs>
              <w:suppressAutoHyphens/>
              <w:spacing w:after="120"/>
              <w:jc w:val="center"/>
              <w:rPr>
                <w:rFonts w:ascii="Calibri" w:hAnsi="Calibri" w:cs="Calibri"/>
                <w:sz w:val="22"/>
                <w:szCs w:val="22"/>
              </w:rPr>
            </w:pPr>
          </w:p>
          <w:p>
            <w:pPr>
              <w:tabs>
                <w:tab w:val="left" w:pos="0"/>
                <w:tab w:val="right" w:pos="9000"/>
              </w:tabs>
              <w:suppressAutoHyphens/>
              <w:spacing w:after="120"/>
              <w:jc w:val="center"/>
              <w:rPr>
                <w:rFonts w:ascii="Calibri" w:hAnsi="Calibri" w:cs="Calibri"/>
                <w:sz w:val="22"/>
                <w:szCs w:val="22"/>
              </w:rPr>
            </w:pPr>
            <w:r>
              <w:rPr>
                <w:rFonts w:ascii="Calibri" w:hAnsi="Calibri" w:cs="Calibri"/>
                <w:sz w:val="22"/>
                <w:szCs w:val="22"/>
              </w:rPr>
              <w:t>Nom et qualité du signataire :</w:t>
            </w:r>
          </w:p>
          <w:p>
            <w:pPr>
              <w:tabs>
                <w:tab w:val="left" w:pos="0"/>
                <w:tab w:val="right" w:pos="9000"/>
              </w:tabs>
              <w:suppressAutoHyphens/>
              <w:spacing w:after="120"/>
              <w:rPr>
                <w:rFonts w:ascii="Calibri" w:hAnsi="Calibri" w:cs="Calibri"/>
                <w:sz w:val="22"/>
                <w:szCs w:val="22"/>
              </w:rPr>
            </w:pPr>
          </w:p>
        </w:tc>
        <w:tc>
          <w:tcPr>
            <w:tcW w:w="4709" w:type="dxa"/>
          </w:tcPr>
          <w:p>
            <w:pPr>
              <w:shd w:val="clear" w:color="auto" w:fill="FFFFFF"/>
              <w:spacing w:after="120"/>
              <w:jc w:val="center"/>
              <w:rPr>
                <w:rFonts w:ascii="Calibri" w:hAnsi="Calibri" w:cs="Calibri"/>
                <w:sz w:val="22"/>
                <w:szCs w:val="22"/>
              </w:rPr>
            </w:pPr>
          </w:p>
          <w:p>
            <w:pPr>
              <w:shd w:val="clear" w:color="auto" w:fill="FFFFFF"/>
              <w:spacing w:after="120"/>
              <w:jc w:val="center"/>
              <w:rPr>
                <w:rFonts w:ascii="Calibri" w:hAnsi="Calibri" w:cs="Calibri"/>
                <w:sz w:val="22"/>
                <w:szCs w:val="22"/>
              </w:rPr>
            </w:pPr>
            <w:r>
              <w:rPr>
                <w:rFonts w:ascii="Calibri" w:hAnsi="Calibri" w:cs="Calibri"/>
                <w:sz w:val="22"/>
                <w:szCs w:val="22"/>
              </w:rPr>
              <w:t>Pour l’opérateur-utilisateur,</w:t>
            </w:r>
          </w:p>
          <w:p>
            <w:pPr>
              <w:shd w:val="clear" w:color="auto" w:fill="FFFFFF"/>
              <w:spacing w:after="120"/>
              <w:jc w:val="center"/>
              <w:rPr>
                <w:rFonts w:ascii="Calibri" w:hAnsi="Calibri" w:cs="Calibri"/>
                <w:sz w:val="22"/>
                <w:szCs w:val="22"/>
              </w:rPr>
            </w:pPr>
          </w:p>
          <w:p>
            <w:pPr>
              <w:shd w:val="clear" w:color="auto" w:fill="FFFFFF"/>
              <w:spacing w:after="120"/>
              <w:jc w:val="center"/>
              <w:rPr>
                <w:rFonts w:ascii="Calibri" w:hAnsi="Calibri" w:cs="Calibri"/>
                <w:sz w:val="22"/>
                <w:szCs w:val="22"/>
              </w:rPr>
            </w:pPr>
            <w:r>
              <w:rPr>
                <w:rFonts w:ascii="Calibri" w:hAnsi="Calibri" w:cs="Calibri"/>
                <w:sz w:val="22"/>
                <w:szCs w:val="22"/>
              </w:rPr>
              <w:t>Nom et qualité du signataire :</w:t>
            </w:r>
          </w:p>
          <w:p>
            <w:pPr>
              <w:tabs>
                <w:tab w:val="left" w:pos="0"/>
                <w:tab w:val="right" w:pos="9000"/>
              </w:tabs>
              <w:suppressAutoHyphens/>
              <w:spacing w:after="120"/>
              <w:rPr>
                <w:rFonts w:ascii="Calibri" w:hAnsi="Calibri" w:cs="Calibri"/>
                <w:sz w:val="22"/>
                <w:szCs w:val="22"/>
              </w:rPr>
            </w:pPr>
          </w:p>
        </w:tc>
      </w:tr>
    </w:tbl>
    <w:p>
      <w:pPr>
        <w:shd w:val="clear" w:color="auto" w:fill="FFFFFF"/>
        <w:spacing w:after="120"/>
        <w:rPr>
          <w:rFonts w:ascii="Calibri" w:hAnsi="Calibri" w:cs="Calibri"/>
          <w:b/>
          <w:bCs/>
          <w:sz w:val="22"/>
          <w:szCs w:val="22"/>
          <w:u w:val="single"/>
        </w:rPr>
      </w:pPr>
    </w:p>
    <w:p>
      <w:pPr>
        <w:pBdr>
          <w:top w:val="single" w:sz="4" w:space="1" w:color="auto"/>
          <w:left w:val="single" w:sz="4" w:space="4" w:color="auto"/>
          <w:bottom w:val="single" w:sz="4" w:space="1" w:color="auto"/>
          <w:right w:val="single" w:sz="4" w:space="4" w:color="auto"/>
        </w:pBdr>
        <w:shd w:val="clear" w:color="auto" w:fill="FFFFFF"/>
        <w:spacing w:after="120"/>
        <w:jc w:val="center"/>
        <w:rPr>
          <w:rFonts w:ascii="Calibri" w:hAnsi="Calibri" w:cs="Calibri"/>
          <w:b/>
          <w:smallCaps/>
          <w:sz w:val="22"/>
          <w:szCs w:val="22"/>
        </w:rPr>
      </w:pPr>
      <w:r>
        <w:rPr>
          <w:rFonts w:ascii="Calibri" w:hAnsi="Calibri" w:cs="Calibri"/>
          <w:b/>
          <w:bCs/>
          <w:sz w:val="22"/>
          <w:szCs w:val="22"/>
          <w:u w:val="single"/>
        </w:rPr>
        <w:br w:type="page"/>
      </w:r>
      <w:r>
        <w:rPr>
          <w:rFonts w:ascii="Calibri" w:hAnsi="Calibri" w:cs="Calibri"/>
          <w:caps/>
          <w:noProof/>
          <w:sz w:val="22"/>
          <w:szCs w:val="22"/>
          <w:lang w:eastAsia="fr-BE"/>
        </w:rPr>
        <w:lastRenderedPageBreak/>
        <mc:AlternateContent>
          <mc:Choice Requires="wps">
            <w:drawing>
              <wp:anchor distT="0" distB="0" distL="114299" distR="114299" simplePos="0" relativeHeight="251643904" behindDoc="0" locked="0" layoutInCell="1" allowOverlap="1">
                <wp:simplePos x="0" y="0"/>
                <wp:positionH relativeFrom="margin">
                  <wp:posOffset>-1600201</wp:posOffset>
                </wp:positionH>
                <wp:positionV relativeFrom="paragraph">
                  <wp:posOffset>176530</wp:posOffset>
                </wp:positionV>
                <wp:extent cx="0" cy="626110"/>
                <wp:effectExtent l="0" t="0" r="19050" b="21590"/>
                <wp:wrapNone/>
                <wp:docPr id="10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611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43904;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126pt,13.9pt" to="-126pt,6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3OcsEgIAACoEAAAOAAAAZHJzL2Uyb0RvYy54bWysU8GO2yAQvVfqPyDuie2sm2atOKvKTnpJ&#10;u5F2+wEEcIyKAQGJE1X99w7YibLtparqAx5g5s2becPy6dxJdOLWCa1KnE1TjLiimgl1KPG3181k&#10;gZHzRDEiteIlvnCHn1bv3y17U/CZbrVk3CIAUa7oTYlb702RJI62vCNuqg1XcNlo2xEPW3tImCU9&#10;oHcymaXpPOm1ZcZqyp2D03q4xKuI3zSc+uemcdwjWWLg5uNq47oPa7JakuJgiWkFHWmQf2DREaEg&#10;6Q2qJp6goxV/QHWCWu1046dUd4luGkF5rAGqydLfqnlpieGxFmiOM7c2uf8HS7+edhYJBtqlGUaK&#10;dCDSViiO8tCb3rgCXCq1s6E6elYvZqvpd4eUrlqiDjxyfL0YCMtCRPImJGycgQz7/otm4EOOXsdG&#10;nRvbBUhoATpHPS43PfjZIzocUjidz+ZZFqVKSHGNM9b5z1x3KBgllkA54pLT1vnAgxRXl5BG6Y2Q&#10;MqotFeqBbJY/pDHCaSlYuA1+zh72lbToRMLAxC9WBTf3blYfFYtoLSdsPdqeCDnYkF2qgAelAJ/R&#10;Gibix2P6uF6sF/kkn83Xkzyt68mnTZVP5pvs44f6oa6qOvsZqGV50QrGuArsrtOZ5X+n/vhOhrm6&#10;zeetD8lb9NgwIHv9R9JRyyDfMAh7zS47e9UYBjI6j48nTPz9Huz7J776BQAA//8DAFBLAwQUAAYA&#10;CAAAACEAgUILxt4AAAAMAQAADwAAAGRycy9kb3ducmV2LnhtbEyPwU7DMAyG70i8Q2QkbltKtBUo&#10;TSeExI3LNiSUW9aYtrRxqibburfHSEhwtP3p9/eXm9kP4oRT7AJpuFtmIJDq4DpqNLzvXxcPIGKy&#10;5OwQCDVcMMKmur4qbeHCmbZ42qVGcAjFwmpoUxoLKWPdordxGUYkvn2GydvE49RIN9kzh/tBqizL&#10;pbcd8YfWjvjSYt3vjl5DdulN7HNjHr/cNuw/zPqtWxmtb2/m5ycQCef0B8OPPqtDxU6HcCQXxaBh&#10;odaKyyQN6p47MPG7OTCr8hXIqpT/S1TfAAAA//8DAFBLAQItABQABgAIAAAAIQC2gziS/gAAAOEB&#10;AAATAAAAAAAAAAAAAAAAAAAAAABbQ29udGVudF9UeXBlc10ueG1sUEsBAi0AFAAGAAgAAAAhADj9&#10;If/WAAAAlAEAAAsAAAAAAAAAAAAAAAAALwEAAF9yZWxzLy5yZWxzUEsBAi0AFAAGAAgAAAAhADnc&#10;5ywSAgAAKgQAAA4AAAAAAAAAAAAAAAAALgIAAGRycy9lMm9Eb2MueG1sUEsBAi0AFAAGAAgAAAAh&#10;AIFCC8beAAAADAEAAA8AAAAAAAAAAAAAAAAAbAQAAGRycy9kb3ducmV2LnhtbFBLBQYAAAAABAAE&#10;APMAAAB3BQAAAAA=&#10;" strokeweight=".9pt">
                <w10:wrap anchorx="margin"/>
              </v:line>
            </w:pict>
          </mc:Fallback>
        </mc:AlternateContent>
      </w:r>
      <w:r>
        <w:rPr>
          <w:rFonts w:ascii="Calibri" w:hAnsi="Calibri" w:cs="Calibri"/>
          <w:b/>
          <w:bCs/>
          <w:caps/>
          <w:sz w:val="22"/>
          <w:szCs w:val="22"/>
        </w:rPr>
        <w:t xml:space="preserve">Convention spécifique DE COLLABORATION entre les Centres de Technologies Avancées et </w:t>
      </w:r>
      <w:r>
        <w:rPr>
          <w:rFonts w:ascii="Calibri" w:hAnsi="Calibri" w:cs="Calibri"/>
          <w:b/>
          <w:bCs/>
          <w:smallCaps/>
          <w:sz w:val="22"/>
          <w:szCs w:val="22"/>
        </w:rPr>
        <w:t>LES OPERATEURS-UTILISATEURS HORS ENSEIGNEMENT</w:t>
      </w:r>
    </w:p>
    <w:p>
      <w:pPr>
        <w:shd w:val="clear" w:color="auto" w:fill="FFFFFF"/>
        <w:tabs>
          <w:tab w:val="left" w:leader="underscore" w:pos="2347"/>
          <w:tab w:val="left" w:leader="underscore" w:pos="8467"/>
        </w:tabs>
        <w:spacing w:after="120"/>
        <w:jc w:val="both"/>
        <w:rPr>
          <w:rFonts w:ascii="Calibri" w:hAnsi="Calibri" w:cs="Calibri"/>
          <w:b/>
          <w:sz w:val="22"/>
          <w:szCs w:val="22"/>
        </w:rPr>
      </w:pPr>
    </w:p>
    <w:p>
      <w:pPr>
        <w:shd w:val="clear" w:color="auto" w:fill="FFFFFF"/>
        <w:tabs>
          <w:tab w:val="left" w:leader="underscore" w:pos="2347"/>
          <w:tab w:val="left" w:leader="underscore" w:pos="8467"/>
        </w:tabs>
        <w:spacing w:after="120"/>
        <w:jc w:val="both"/>
        <w:rPr>
          <w:rFonts w:ascii="Calibri" w:hAnsi="Calibri" w:cs="Calibri"/>
          <w:b/>
          <w:sz w:val="22"/>
          <w:szCs w:val="22"/>
        </w:rPr>
      </w:pPr>
      <w:r>
        <w:rPr>
          <w:rFonts w:ascii="Calibri" w:hAnsi="Calibri" w:cs="Calibri"/>
          <w:b/>
          <w:sz w:val="22"/>
          <w:szCs w:val="22"/>
        </w:rPr>
        <w:t>Cette convention spécifique n’est valable que pour autant qu’elle soit accompagnée de la convention générale signée par les partenaires.</w:t>
      </w:r>
    </w:p>
    <w:p>
      <w:pPr>
        <w:shd w:val="clear" w:color="auto" w:fill="FFFFFF"/>
        <w:tabs>
          <w:tab w:val="left" w:leader="underscore" w:pos="2347"/>
          <w:tab w:val="left" w:leader="underscore" w:pos="8467"/>
        </w:tabs>
        <w:spacing w:after="120"/>
        <w:jc w:val="both"/>
        <w:rPr>
          <w:rFonts w:ascii="Calibri" w:hAnsi="Calibri" w:cs="Calibri"/>
          <w:b/>
          <w:sz w:val="22"/>
          <w:szCs w:val="22"/>
        </w:rPr>
      </w:pPr>
    </w:p>
    <w:p>
      <w:pPr>
        <w:pBdr>
          <w:top w:val="single" w:sz="8" w:space="1" w:color="auto"/>
          <w:left w:val="single" w:sz="8" w:space="4" w:color="auto"/>
          <w:bottom w:val="single" w:sz="8" w:space="1" w:color="auto"/>
          <w:right w:val="single" w:sz="8" w:space="4" w:color="auto"/>
        </w:pBdr>
        <w:shd w:val="clear" w:color="auto" w:fill="FFFFFF"/>
        <w:spacing w:after="120"/>
        <w:outlineLvl w:val="0"/>
        <w:rPr>
          <w:rFonts w:ascii="Calibri" w:hAnsi="Calibri" w:cs="Calibri"/>
          <w:b/>
          <w:caps/>
          <w:sz w:val="22"/>
          <w:szCs w:val="22"/>
        </w:rPr>
      </w:pPr>
      <w:r>
        <w:rPr>
          <w:rFonts w:ascii="Calibri" w:hAnsi="Calibri" w:cs="Calibri"/>
          <w:noProof/>
          <w:sz w:val="22"/>
          <w:szCs w:val="22"/>
          <w:lang w:eastAsia="fr-BE"/>
        </w:rPr>
        <mc:AlternateContent>
          <mc:Choice Requires="wps">
            <w:drawing>
              <wp:anchor distT="0" distB="0" distL="114299" distR="114299" simplePos="0" relativeHeight="251644928" behindDoc="0" locked="0" layoutInCell="1" allowOverlap="1">
                <wp:simplePos x="0" y="0"/>
                <wp:positionH relativeFrom="margin">
                  <wp:posOffset>-1752601</wp:posOffset>
                </wp:positionH>
                <wp:positionV relativeFrom="paragraph">
                  <wp:posOffset>271780</wp:posOffset>
                </wp:positionV>
                <wp:extent cx="0" cy="240030"/>
                <wp:effectExtent l="0" t="0" r="19050" b="26670"/>
                <wp:wrapNone/>
                <wp:docPr id="100"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0030"/>
                        </a:xfrm>
                        <a:prstGeom prst="line">
                          <a:avLst/>
                        </a:prstGeom>
                        <a:noFill/>
                        <a:ln w="114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z-index:251644928;visibility:visible;mso-wrap-style:square;mso-width-percent:0;mso-height-percent:0;mso-wrap-distance-left:3.17497mm;mso-wrap-distance-top:0;mso-wrap-distance-right:3.17497mm;mso-wrap-distance-bottom:0;mso-position-horizontal:absolute;mso-position-horizontal-relative:margin;mso-position-vertical:absolute;mso-position-vertical-relative:text;mso-width-percent:0;mso-height-percent:0;mso-width-relative:page;mso-height-relative:page" from="-138pt,21.4pt" to="-138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iPSEAIAACoEAAAOAAAAZHJzL2Uyb0RvYy54bWysU8GO2jAQvVfqP1i5QxI2ZdmIsKoI9EK7&#10;SLv9AGM7xKrjsWxDQFX/vWMH0O72UlXNwZnxjJ/fzBvPH0+dIkdhnQRdJfk4S4jQDLjU+yr5/rIe&#10;zRLiPNWcKtCiSs7CJY+Ljx/mvSnFBFpQXFiCINqVvamS1ntTpqljreioG4MRGoMN2I56dO0+5Zb2&#10;iN6pdJJl07QHy40FJpzD3XoIJouI3zSC+aemccITVSXIzcfVxnUX1nQxp+XeUtNKdqFB/4FFR6XG&#10;S29QNfWUHKz8A6qTzIKDxo8ZdCk0jWQi1oDV5Nm7ap5bakSsBZvjzK1N7v/Bsm/HrSWSo3YZ9kfT&#10;DkXaSC3IfehNb1yJKUu9taE6dtLPZgPshyMali3VexE5vpwNHsvDifTNkeA4gzfs+q/AMYcePMRG&#10;nRrbBUhsATlFPc43PcTJEzZsMtydFFl2F6VKaXk9Z6zzXwR0JBhVopByxKXHjfOBBy2vKeEaDWup&#10;VFRbadIj2bxAzBByoCQP0ejY/W6pLDnSMDDxi1W9S7Nw0DyitYLy1cX2VKrBxtuVDnhYCvK5WMNE&#10;/HzIHlaz1awYFZPpalRkdT36vF4Wo+k6v/9U39XLZZ3/CtTyomwl50IHdtfpzIu/U//yToa5us3n&#10;rQ/pW/TYMCR7/UfSUcsg3zAIO+Dnrb1qjAMZky+PJ0z8ax/t10988RsAAP//AwBQSwMEFAAGAAgA&#10;AAAhAGrqYgjeAAAACwEAAA8AAABkcnMvZG93bnJldi54bWxMj8FOwzAMhu9IvENkJG5bQjXKKHUn&#10;hMSNyzYklFvWmLa0Saom27q3x0hIcLT96/f3lZvZDeJEU+yCR7hbKhDk62A73yC8718XaxAxGW/N&#10;EDwhXCjCprq+Kk1hw9lv6bRLjeASHwuD0KY0FlLGuiVn4jKM5Pn2GSZnEo9TI+1kzlzuBpkplUtn&#10;Os8fWjPSS0t1vzs6BHXpdexzrR+/7DbsP/T9W7fSiLc38/MTiERz+gvDDz6jQ8VMh3D0NooBYZE9&#10;5CyTEFYZO3Did3NAWKscZFXK/w7VNwAAAP//AwBQSwECLQAUAAYACAAAACEAtoM4kv4AAADhAQAA&#10;EwAAAAAAAAAAAAAAAAAAAAAAW0NvbnRlbnRfVHlwZXNdLnhtbFBLAQItABQABgAIAAAAIQA4/SH/&#10;1gAAAJQBAAALAAAAAAAAAAAAAAAAAC8BAABfcmVscy8ucmVsc1BLAQItABQABgAIAAAAIQBU7iPS&#10;EAIAACoEAAAOAAAAAAAAAAAAAAAAAC4CAABkcnMvZTJvRG9jLnhtbFBLAQItABQABgAIAAAAIQBq&#10;6mII3gAAAAsBAAAPAAAAAAAAAAAAAAAAAGoEAABkcnMvZG93bnJldi54bWxQSwUGAAAAAAQABADz&#10;AAAAdQUAAAAA&#10;" strokeweight=".9pt">
                <w10:wrap anchorx="margin"/>
              </v:line>
            </w:pict>
          </mc:Fallback>
        </mc:AlternateContent>
      </w:r>
      <w:r>
        <w:rPr>
          <w:rFonts w:ascii="Calibri" w:hAnsi="Calibri" w:cs="Calibri"/>
          <w:b/>
          <w:caps/>
          <w:sz w:val="22"/>
          <w:szCs w:val="22"/>
        </w:rPr>
        <w:t>Centre de Technologies Avancées</w:t>
      </w:r>
    </w:p>
    <w:p>
      <w:pPr>
        <w:shd w:val="clear" w:color="auto" w:fill="FFFFFF"/>
        <w:spacing w:after="120"/>
        <w:rPr>
          <w:rFonts w:ascii="Calibri" w:hAnsi="Calibri" w:cs="Calibri"/>
          <w:sz w:val="22"/>
          <w:szCs w:val="22"/>
        </w:rPr>
      </w:pPr>
      <w:r>
        <w:rPr>
          <w:rFonts w:ascii="Calibri" w:hAnsi="Calibri" w:cs="Calibri"/>
          <w:sz w:val="22"/>
          <w:szCs w:val="22"/>
        </w:rPr>
        <w:t>Nom de l’institution :</w:t>
      </w:r>
    </w:p>
    <w:p>
      <w:pPr>
        <w:shd w:val="clear" w:color="auto" w:fill="FFFFFF"/>
        <w:spacing w:after="120"/>
        <w:rPr>
          <w:rFonts w:ascii="Calibri" w:hAnsi="Calibri" w:cs="Calibri"/>
          <w:sz w:val="22"/>
          <w:szCs w:val="22"/>
        </w:rPr>
      </w:pPr>
      <w:r>
        <w:rPr>
          <w:rFonts w:ascii="Calibri" w:hAnsi="Calibri" w:cs="Calibri"/>
          <w:sz w:val="22"/>
          <w:szCs w:val="22"/>
        </w:rPr>
        <w:t>Adresse :</w:t>
      </w:r>
    </w:p>
    <w:p>
      <w:pPr>
        <w:shd w:val="clear" w:color="auto" w:fill="FFFFFF"/>
        <w:spacing w:after="120"/>
        <w:rPr>
          <w:rFonts w:ascii="Calibri" w:hAnsi="Calibri" w:cs="Calibri"/>
          <w:sz w:val="22"/>
          <w:szCs w:val="22"/>
        </w:rPr>
      </w:pPr>
      <w:r>
        <w:rPr>
          <w:rFonts w:ascii="Calibri" w:hAnsi="Calibri" w:cs="Calibri"/>
          <w:sz w:val="22"/>
          <w:szCs w:val="22"/>
        </w:rPr>
        <w:t>Personne de contact :</w:t>
      </w:r>
    </w:p>
    <w:p>
      <w:pPr>
        <w:shd w:val="clear" w:color="auto" w:fill="FFFFFF"/>
        <w:tabs>
          <w:tab w:val="left" w:pos="4100"/>
        </w:tabs>
        <w:spacing w:after="120"/>
        <w:rPr>
          <w:rFonts w:ascii="Calibri" w:hAnsi="Calibri" w:cs="Calibri"/>
          <w:sz w:val="22"/>
          <w:szCs w:val="22"/>
        </w:rPr>
      </w:pPr>
      <w:r>
        <w:rPr>
          <w:rFonts w:ascii="Calibri" w:hAnsi="Calibri" w:cs="Calibri"/>
          <w:sz w:val="22"/>
          <w:szCs w:val="22"/>
        </w:rPr>
        <w:t>Téléphone :</w:t>
      </w:r>
      <w:r>
        <w:rPr>
          <w:rFonts w:ascii="Calibri" w:hAnsi="Calibri" w:cs="Calibri"/>
          <w:sz w:val="22"/>
          <w:szCs w:val="22"/>
        </w:rPr>
        <w:tab/>
        <w:t>Fax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OPERATEUR-UTILISATEUR</w:t>
      </w:r>
    </w:p>
    <w:p>
      <w:pPr>
        <w:shd w:val="clear" w:color="auto" w:fill="FFFFFF"/>
        <w:spacing w:after="120"/>
        <w:rPr>
          <w:rFonts w:ascii="Calibri" w:hAnsi="Calibri" w:cs="Calibri"/>
          <w:sz w:val="22"/>
          <w:szCs w:val="22"/>
        </w:rPr>
      </w:pPr>
      <w:r>
        <w:rPr>
          <w:rFonts w:ascii="Calibri" w:hAnsi="Calibri" w:cs="Calibri"/>
          <w:sz w:val="22"/>
          <w:szCs w:val="22"/>
        </w:rPr>
        <w:t>Nom de l'institution :</w:t>
      </w:r>
    </w:p>
    <w:p>
      <w:pPr>
        <w:shd w:val="clear" w:color="auto" w:fill="FFFFFF"/>
        <w:spacing w:after="120"/>
        <w:rPr>
          <w:rFonts w:ascii="Calibri" w:hAnsi="Calibri" w:cs="Calibri"/>
          <w:sz w:val="22"/>
          <w:szCs w:val="22"/>
        </w:rPr>
      </w:pPr>
      <w:r>
        <w:rPr>
          <w:rFonts w:ascii="Calibri" w:hAnsi="Calibri" w:cs="Calibri"/>
          <w:sz w:val="22"/>
          <w:szCs w:val="22"/>
        </w:rPr>
        <w:t>Adresse :</w:t>
      </w:r>
    </w:p>
    <w:p>
      <w:pPr>
        <w:shd w:val="clear" w:color="auto" w:fill="FFFFFF"/>
        <w:spacing w:after="120"/>
        <w:rPr>
          <w:rFonts w:ascii="Calibri" w:hAnsi="Calibri" w:cs="Calibri"/>
          <w:sz w:val="22"/>
          <w:szCs w:val="22"/>
        </w:rPr>
      </w:pPr>
      <w:r>
        <w:rPr>
          <w:rFonts w:ascii="Calibri" w:hAnsi="Calibri" w:cs="Calibri"/>
          <w:sz w:val="22"/>
          <w:szCs w:val="22"/>
        </w:rPr>
        <w:t>Personne de contact :</w:t>
      </w:r>
    </w:p>
    <w:p>
      <w:pPr>
        <w:shd w:val="clear" w:color="auto" w:fill="FFFFFF"/>
        <w:tabs>
          <w:tab w:val="left" w:pos="4097"/>
        </w:tabs>
        <w:spacing w:after="120"/>
        <w:rPr>
          <w:rFonts w:ascii="Calibri" w:hAnsi="Calibri" w:cs="Calibri"/>
          <w:sz w:val="22"/>
          <w:szCs w:val="22"/>
        </w:rPr>
      </w:pPr>
      <w:r>
        <w:rPr>
          <w:rFonts w:ascii="Calibri" w:hAnsi="Calibri" w:cs="Calibri"/>
          <w:sz w:val="22"/>
          <w:szCs w:val="22"/>
        </w:rPr>
        <w:t>Téléphone :</w:t>
      </w:r>
      <w:r>
        <w:rPr>
          <w:rFonts w:ascii="Calibri" w:hAnsi="Calibri" w:cs="Calibri"/>
          <w:sz w:val="22"/>
          <w:szCs w:val="22"/>
        </w:rPr>
        <w:tab/>
        <w:t>Fax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 xml:space="preserve">INTITULE DE </w:t>
      </w:r>
      <w:smartTag w:uri="urn:schemas-microsoft-com:office:smarttags" w:element="PersonName">
        <w:smartTagPr>
          <w:attr w:name="ProductID" w:val="LA FORMATION"/>
        </w:smartTagPr>
        <w:r>
          <w:rPr>
            <w:rFonts w:ascii="Calibri" w:hAnsi="Calibri" w:cs="Calibri"/>
            <w:b/>
            <w:bCs/>
            <w:sz w:val="22"/>
            <w:szCs w:val="22"/>
          </w:rPr>
          <w:t>LA FORMATION</w:t>
        </w:r>
      </w:smartTag>
    </w:p>
    <w:p>
      <w:pPr>
        <w:shd w:val="clear" w:color="auto" w:fill="FFFFFF"/>
        <w:spacing w:after="120"/>
        <w:ind w:right="5443"/>
        <w:rPr>
          <w:rFonts w:ascii="Calibri" w:hAnsi="Calibri" w:cs="Calibri"/>
          <w:sz w:val="22"/>
          <w:szCs w:val="22"/>
        </w:rPr>
      </w:pPr>
      <w:r>
        <w:rPr>
          <w:rFonts w:ascii="Calibri" w:hAnsi="Calibri" w:cs="Calibri"/>
          <w:sz w:val="22"/>
          <w:szCs w:val="22"/>
        </w:rPr>
        <w:t>Durée (en jours de formation) :</w:t>
      </w:r>
    </w:p>
    <w:p>
      <w:pPr>
        <w:shd w:val="clear" w:color="auto" w:fill="FFFFFF"/>
        <w:spacing w:after="120"/>
        <w:ind w:right="5443"/>
        <w:rPr>
          <w:rFonts w:ascii="Calibri" w:hAnsi="Calibri" w:cs="Calibri"/>
          <w:sz w:val="22"/>
          <w:szCs w:val="22"/>
        </w:rPr>
      </w:pPr>
      <w:r>
        <w:rPr>
          <w:rFonts w:ascii="Calibri" w:hAnsi="Calibri" w:cs="Calibri"/>
          <w:sz w:val="22"/>
          <w:szCs w:val="22"/>
        </w:rPr>
        <w:t>Nombre d'heures de théorie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Nombre d'heures de pratique :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Date(s) : </w:t>
      </w:r>
    </w:p>
    <w:p>
      <w:pPr>
        <w:shd w:val="clear" w:color="auto" w:fill="FFFFFF"/>
        <w:spacing w:after="120"/>
        <w:ind w:right="5443"/>
        <w:rPr>
          <w:rFonts w:ascii="Calibri" w:hAnsi="Calibri" w:cs="Calibri"/>
          <w:sz w:val="22"/>
          <w:szCs w:val="22"/>
        </w:rPr>
      </w:pPr>
      <w:r>
        <w:rPr>
          <w:rFonts w:ascii="Calibri" w:hAnsi="Calibri" w:cs="Calibri"/>
          <w:sz w:val="22"/>
          <w:szCs w:val="22"/>
        </w:rPr>
        <w:t xml:space="preserve">Horaire : </w:t>
      </w:r>
    </w:p>
    <w:p>
      <w:pPr>
        <w:pBdr>
          <w:top w:val="single" w:sz="4" w:space="1" w:color="auto"/>
          <w:left w:val="single" w:sz="4" w:space="4" w:color="auto"/>
          <w:bottom w:val="single" w:sz="4" w:space="1" w:color="auto"/>
          <w:right w:val="single" w:sz="4" w:space="4" w:color="auto"/>
        </w:pBdr>
        <w:shd w:val="clear" w:color="auto" w:fill="FFFFFF"/>
        <w:spacing w:after="120"/>
        <w:outlineLvl w:val="0"/>
        <w:rPr>
          <w:rFonts w:ascii="Calibri" w:hAnsi="Calibri" w:cs="Calibri"/>
          <w:b/>
          <w:sz w:val="22"/>
          <w:szCs w:val="22"/>
        </w:rPr>
      </w:pPr>
      <w:r>
        <w:rPr>
          <w:rFonts w:ascii="Calibri" w:hAnsi="Calibri" w:cs="Calibri"/>
          <w:b/>
          <w:bCs/>
          <w:sz w:val="22"/>
          <w:szCs w:val="22"/>
        </w:rPr>
        <w:t>PARTICIPANTS</w:t>
      </w:r>
    </w:p>
    <w:p>
      <w:pPr>
        <w:tabs>
          <w:tab w:val="left" w:pos="4860"/>
        </w:tabs>
        <w:spacing w:after="120"/>
        <w:jc w:val="both"/>
        <w:rPr>
          <w:rFonts w:ascii="Calibri" w:hAnsi="Calibri" w:cs="Calibri"/>
          <w:sz w:val="22"/>
          <w:szCs w:val="22"/>
        </w:rPr>
      </w:pPr>
      <w:r>
        <w:rPr>
          <w:rFonts w:ascii="Calibri" w:hAnsi="Calibri" w:cs="Calibri"/>
          <w:sz w:val="22"/>
          <w:szCs w:val="22"/>
        </w:rPr>
        <w:t>O Formateur(s)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Nombre :……</w:t>
      </w:r>
    </w:p>
    <w:p>
      <w:pPr>
        <w:shd w:val="clear" w:color="auto" w:fill="FFFFFF"/>
        <w:spacing w:after="120"/>
        <w:jc w:val="both"/>
        <w:rPr>
          <w:rFonts w:ascii="Calibri" w:hAnsi="Calibri" w:cs="Calibri"/>
          <w:sz w:val="22"/>
          <w:szCs w:val="22"/>
        </w:rPr>
      </w:pPr>
      <w:r>
        <w:rPr>
          <w:rFonts w:ascii="Calibri" w:hAnsi="Calibri" w:cs="Calibri"/>
          <w:sz w:val="22"/>
          <w:szCs w:val="22"/>
        </w:rPr>
        <w:t>O Stagiaire(s)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Nombre :……</w:t>
      </w:r>
    </w:p>
    <w:p>
      <w:pPr>
        <w:shd w:val="clear" w:color="auto" w:fill="FFFFFF"/>
        <w:spacing w:after="120"/>
        <w:jc w:val="both"/>
        <w:rPr>
          <w:rFonts w:ascii="Calibri" w:hAnsi="Calibri" w:cs="Calibri"/>
          <w:sz w:val="22"/>
          <w:szCs w:val="22"/>
        </w:rPr>
      </w:pPr>
    </w:p>
    <w:p>
      <w:pPr>
        <w:shd w:val="clear" w:color="auto" w:fill="FFFFFF"/>
        <w:spacing w:after="120"/>
        <w:jc w:val="both"/>
        <w:rPr>
          <w:rFonts w:ascii="Calibri" w:hAnsi="Calibri" w:cs="Calibri"/>
          <w:sz w:val="22"/>
          <w:szCs w:val="22"/>
        </w:rPr>
      </w:pPr>
    </w:p>
    <w:p>
      <w:pPr>
        <w:shd w:val="clear" w:color="auto" w:fill="FFFFFF"/>
        <w:spacing w:after="120"/>
        <w:jc w:val="both"/>
        <w:rPr>
          <w:rFonts w:ascii="Calibri" w:hAnsi="Calibri" w:cs="Calibri"/>
          <w:sz w:val="22"/>
          <w:szCs w:val="22"/>
        </w:rPr>
      </w:pPr>
      <w:r>
        <w:rPr>
          <w:rFonts w:ascii="Calibri" w:hAnsi="Calibri" w:cs="Calibri"/>
          <w:sz w:val="22"/>
          <w:szCs w:val="22"/>
        </w:rPr>
        <w:t>La présente convention prend effet à la date de sa signature, elle prend fin à l'issue du cycle de formation.</w:t>
      </w:r>
    </w:p>
    <w:p>
      <w:pPr>
        <w:shd w:val="clear" w:color="auto" w:fill="FFFFFF"/>
        <w:tabs>
          <w:tab w:val="left" w:leader="dot" w:pos="2318"/>
        </w:tabs>
        <w:spacing w:after="120"/>
        <w:rPr>
          <w:rFonts w:ascii="Calibri" w:hAnsi="Calibri" w:cs="Calibri"/>
          <w:sz w:val="22"/>
          <w:szCs w:val="22"/>
        </w:rPr>
      </w:pPr>
    </w:p>
    <w:p>
      <w:pPr>
        <w:shd w:val="clear" w:color="auto" w:fill="FFFFFF"/>
        <w:tabs>
          <w:tab w:val="left" w:leader="dot" w:pos="2318"/>
        </w:tabs>
        <w:spacing w:after="120"/>
        <w:rPr>
          <w:rFonts w:ascii="Calibri" w:hAnsi="Calibri" w:cs="Calibri"/>
          <w:sz w:val="22"/>
          <w:szCs w:val="22"/>
        </w:rPr>
      </w:pPr>
      <w:r>
        <w:rPr>
          <w:rFonts w:ascii="Calibri" w:hAnsi="Calibri" w:cs="Calibri"/>
          <w:sz w:val="22"/>
          <w:szCs w:val="22"/>
        </w:rPr>
        <w:t>Fait le …../…../20..… en 2 exemplaires signés respectivement par chacune des parties.</w:t>
      </w:r>
    </w:p>
    <w:p>
      <w:pPr>
        <w:shd w:val="clear" w:color="auto" w:fill="FFFFFF"/>
        <w:tabs>
          <w:tab w:val="left" w:leader="dot" w:pos="2318"/>
        </w:tabs>
        <w:spacing w:after="120"/>
        <w:rPr>
          <w:rFonts w:ascii="Calibri" w:hAnsi="Calibri" w:cs="Calibri"/>
          <w:sz w:val="22"/>
          <w:szCs w:val="22"/>
        </w:rPr>
      </w:pPr>
    </w:p>
    <w:p>
      <w:pPr>
        <w:shd w:val="clear" w:color="auto" w:fill="FFFFFF"/>
        <w:spacing w:after="120"/>
        <w:ind w:right="23"/>
        <w:jc w:val="center"/>
        <w:rPr>
          <w:rFonts w:ascii="Calibri" w:hAnsi="Calibri" w:cs="Calibri"/>
          <w:sz w:val="22"/>
          <w:szCs w:val="22"/>
        </w:rPr>
      </w:pPr>
      <w:r>
        <w:rPr>
          <w:rFonts w:ascii="Calibri" w:hAnsi="Calibri" w:cs="Calibri"/>
          <w:sz w:val="22"/>
          <w:szCs w:val="22"/>
        </w:rPr>
        <w:t xml:space="preserve">Pour le Centre de Technologies Avancées, </w:t>
      </w:r>
      <w:r>
        <w:rPr>
          <w:rFonts w:ascii="Calibri" w:hAnsi="Calibri" w:cs="Calibri"/>
          <w:sz w:val="22"/>
          <w:szCs w:val="22"/>
        </w:rPr>
        <w:br/>
        <w:t>Nom et qualité du signataire :</w:t>
      </w:r>
    </w:p>
    <w:p>
      <w:pPr>
        <w:shd w:val="clear" w:color="auto" w:fill="FFFFFF"/>
        <w:spacing w:after="120"/>
        <w:ind w:right="23"/>
        <w:jc w:val="center"/>
        <w:rPr>
          <w:rFonts w:ascii="Calibri" w:hAnsi="Calibri" w:cs="Calibri"/>
          <w:sz w:val="22"/>
          <w:szCs w:val="22"/>
        </w:rPr>
      </w:pPr>
      <w:r>
        <w:rPr>
          <w:rFonts w:ascii="Calibri" w:hAnsi="Calibri" w:cs="Calibri"/>
          <w:sz w:val="22"/>
          <w:szCs w:val="22"/>
        </w:rPr>
        <w:t xml:space="preserve">Pour l'opérateur-utilisateur, </w:t>
      </w:r>
      <w:r>
        <w:rPr>
          <w:rFonts w:ascii="Calibri" w:hAnsi="Calibri" w:cs="Calibri"/>
          <w:sz w:val="22"/>
          <w:szCs w:val="22"/>
        </w:rPr>
        <w:br/>
        <w:t>Nom et qualité du signataire :</w:t>
      </w:r>
    </w:p>
    <w:p>
      <w:pPr>
        <w:shd w:val="clear" w:color="auto" w:fill="FFFFFF"/>
        <w:spacing w:after="120"/>
        <w:rPr>
          <w:rFonts w:ascii="Calibri" w:hAnsi="Calibri" w:cs="Calibri"/>
          <w:b/>
          <w:bCs/>
          <w:sz w:val="22"/>
          <w:szCs w:val="22"/>
          <w:u w:val="single"/>
        </w:rPr>
      </w:pPr>
      <w:r>
        <w:rPr>
          <w:rFonts w:ascii="Calibri" w:hAnsi="Calibri" w:cs="Calibri"/>
          <w:b/>
          <w:bCs/>
          <w:sz w:val="22"/>
          <w:szCs w:val="22"/>
          <w:u w:val="single"/>
        </w:rPr>
        <w:br w:type="page"/>
      </w: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lastRenderedPageBreak/>
        <w:t>Annexe 1 : Règlement d'ordre intérieur du CTA</w:t>
      </w:r>
    </w:p>
    <w:p>
      <w:pPr>
        <w:shd w:val="clear" w:color="auto" w:fill="FFFFFF"/>
        <w:spacing w:after="120"/>
        <w:rPr>
          <w:rFonts w:ascii="Calibri" w:hAnsi="Calibri" w:cs="Calibri"/>
          <w:b/>
          <w:bCs/>
          <w:sz w:val="22"/>
          <w:szCs w:val="22"/>
          <w:u w:val="single"/>
        </w:rPr>
      </w:pPr>
    </w:p>
    <w:p>
      <w:pPr>
        <w:shd w:val="clear" w:color="auto" w:fill="FFFFFF"/>
        <w:spacing w:after="120"/>
        <w:rPr>
          <w:rFonts w:ascii="Calibri" w:hAnsi="Calibri" w:cs="Calibri"/>
          <w:b/>
          <w:bCs/>
          <w:sz w:val="22"/>
          <w:szCs w:val="22"/>
          <w:u w:val="single"/>
        </w:rPr>
      </w:pP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t>Annexe 2 : Programme de formation</w:t>
      </w:r>
    </w:p>
    <w:p>
      <w:pPr>
        <w:shd w:val="clear" w:color="auto" w:fill="FFFFFF"/>
        <w:spacing w:after="120"/>
        <w:rPr>
          <w:rFonts w:ascii="Calibri" w:hAnsi="Calibri" w:cs="Calibri"/>
          <w:b/>
          <w:bCs/>
          <w:sz w:val="22"/>
          <w:szCs w:val="22"/>
          <w:u w:val="single"/>
        </w:rPr>
      </w:pPr>
    </w:p>
    <w:p>
      <w:pPr>
        <w:shd w:val="clear" w:color="auto" w:fill="FFFFFF"/>
        <w:spacing w:after="120"/>
        <w:rPr>
          <w:rFonts w:ascii="Calibri" w:hAnsi="Calibri" w:cs="Calibri"/>
          <w:b/>
          <w:bCs/>
          <w:sz w:val="22"/>
          <w:szCs w:val="22"/>
          <w:u w:val="single"/>
        </w:rPr>
      </w:pPr>
    </w:p>
    <w:p>
      <w:pPr>
        <w:shd w:val="clear" w:color="auto" w:fill="FFFFFF"/>
        <w:spacing w:after="120"/>
        <w:outlineLvl w:val="0"/>
        <w:rPr>
          <w:rFonts w:ascii="Calibri" w:hAnsi="Calibri" w:cs="Calibri"/>
          <w:b/>
          <w:sz w:val="22"/>
          <w:szCs w:val="22"/>
        </w:rPr>
      </w:pPr>
      <w:r>
        <w:rPr>
          <w:rFonts w:ascii="Calibri" w:hAnsi="Calibri" w:cs="Calibri"/>
          <w:b/>
          <w:bCs/>
          <w:sz w:val="22"/>
          <w:szCs w:val="22"/>
          <w:u w:val="single"/>
        </w:rPr>
        <w:t>Annexe 3 : Liste d'analyse des risques pour les équipements proposés</w:t>
      </w:r>
    </w:p>
    <w:p>
      <w:pPr>
        <w:shd w:val="clear" w:color="auto" w:fill="FFFFFF"/>
        <w:spacing w:after="120"/>
        <w:rPr>
          <w:rFonts w:ascii="Calibri" w:hAnsi="Calibri" w:cs="Calibri"/>
          <w:bCs/>
          <w:sz w:val="22"/>
          <w:szCs w:val="22"/>
        </w:rPr>
      </w:pPr>
    </w:p>
    <w:p>
      <w:pPr>
        <w:shd w:val="clear" w:color="auto" w:fill="FFFFFF"/>
        <w:spacing w:after="120"/>
        <w:rPr>
          <w:rFonts w:ascii="Calibri" w:hAnsi="Calibri" w:cs="Calibri"/>
          <w:bCs/>
          <w:sz w:val="22"/>
          <w:szCs w:val="22"/>
        </w:rPr>
      </w:pPr>
    </w:p>
    <w:p>
      <w:pPr>
        <w:shd w:val="clear" w:color="auto" w:fill="FFFFFF"/>
        <w:spacing w:after="120"/>
        <w:outlineLvl w:val="0"/>
        <w:rPr>
          <w:rFonts w:ascii="Calibri" w:hAnsi="Calibri" w:cs="Calibri"/>
          <w:sz w:val="22"/>
          <w:szCs w:val="22"/>
        </w:rPr>
      </w:pPr>
      <w:r>
        <w:rPr>
          <w:rFonts w:ascii="Calibri" w:hAnsi="Calibri" w:cs="Calibri"/>
          <w:bCs/>
          <w:sz w:val="22"/>
          <w:szCs w:val="22"/>
        </w:rPr>
        <w:t>Ces trois documents sont propres à chaque CTA</w:t>
      </w:r>
    </w:p>
    <w:p>
      <w:pPr>
        <w:spacing w:before="240" w:after="240"/>
        <w:jc w:val="both"/>
        <w:rPr>
          <w:rFonts w:ascii="Calibri" w:hAnsi="Calibri" w:cs="Calibri"/>
          <w:sz w:val="22"/>
          <w:szCs w:val="22"/>
        </w:rPr>
      </w:pPr>
      <w:r>
        <w:rPr>
          <w:rFonts w:ascii="Calibri" w:hAnsi="Calibri" w:cs="Calibri"/>
          <w:sz w:val="22"/>
          <w:szCs w:val="22"/>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7</w:t>
      </w:r>
    </w:p>
    <w:p>
      <w:pPr>
        <w:spacing w:before="240" w:after="240"/>
        <w:jc w:val="center"/>
        <w:rPr>
          <w:rFonts w:ascii="Calibri" w:hAnsi="Calibri" w:cs="Calibri"/>
          <w:b/>
          <w:sz w:val="36"/>
          <w:szCs w:val="36"/>
        </w:rPr>
      </w:pPr>
      <w:r>
        <w:rPr>
          <w:rFonts w:ascii="Calibri" w:hAnsi="Calibri" w:cs="Calibri"/>
          <w:b/>
          <w:sz w:val="36"/>
          <w:szCs w:val="36"/>
        </w:rPr>
        <w:t>Déclaration sur l’honneur pour le remboursement de frais de déplacement occasionnés lors d’une formation suivie en CTA</w:t>
      </w:r>
    </w:p>
    <w:p>
      <w:pPr>
        <w:spacing w:before="240" w:after="240"/>
        <w:jc w:val="center"/>
        <w:rPr>
          <w:rFonts w:ascii="Calibri" w:hAnsi="Calibri" w:cs="Calibri"/>
          <w:b/>
          <w:sz w:val="36"/>
          <w:szCs w:val="36"/>
        </w:rPr>
      </w:pPr>
      <w:r>
        <w:rPr>
          <w:rFonts w:ascii="Calibri" w:hAnsi="Calibri" w:cs="Calibri"/>
          <w:b/>
          <w:sz w:val="36"/>
          <w:szCs w:val="36"/>
        </w:rPr>
        <w:t>Déplacement en autocar de l’école</w:t>
      </w:r>
    </w:p>
    <w:p>
      <w:pPr>
        <w:ind w:left="2880"/>
        <w:jc w:val="center"/>
        <w:rPr>
          <w:rFonts w:asciiTheme="minorHAnsi" w:hAnsiTheme="minorHAnsi" w:cstheme="minorHAnsi"/>
          <w:b/>
          <w:sz w:val="20"/>
          <w:szCs w:val="20"/>
        </w:rPr>
      </w:pPr>
      <w:r>
        <w:rPr>
          <w:rFonts w:ascii="Calibri" w:hAnsi="Calibri" w:cs="Calibri"/>
          <w:sz w:val="22"/>
          <w:szCs w:val="22"/>
        </w:rPr>
        <w:br w:type="page"/>
      </w:r>
    </w:p>
    <w:p>
      <w:pPr>
        <w:ind w:left="2880"/>
        <w:jc w:val="center"/>
        <w:rPr>
          <w:rFonts w:asciiTheme="minorHAnsi" w:hAnsiTheme="minorHAnsi" w:cstheme="minorHAnsi"/>
          <w:b/>
          <w:sz w:val="20"/>
          <w:szCs w:val="20"/>
        </w:rPr>
      </w:pPr>
      <w:r>
        <w:rPr>
          <w:rFonts w:asciiTheme="minorHAnsi" w:hAnsiTheme="minorHAnsi" w:cstheme="minorHAnsi"/>
          <w:noProof/>
          <w:sz w:val="20"/>
          <w:szCs w:val="20"/>
          <w:lang w:eastAsia="fr-BE"/>
        </w:rPr>
        <w:lastRenderedPageBreak/>
        <w:drawing>
          <wp:anchor distT="0" distB="0" distL="114300" distR="114300" simplePos="0" relativeHeight="251645952" behindDoc="0" locked="0" layoutInCell="1" allowOverlap="1">
            <wp:simplePos x="0" y="0"/>
            <wp:positionH relativeFrom="column">
              <wp:posOffset>57785</wp:posOffset>
            </wp:positionH>
            <wp:positionV relativeFrom="page">
              <wp:posOffset>896620</wp:posOffset>
            </wp:positionV>
            <wp:extent cx="1134000" cy="1080000"/>
            <wp:effectExtent l="0" t="0" r="9525" b="6350"/>
            <wp:wrapNone/>
            <wp:docPr id="99" name="Image 71" descr="FWB_QUADRI_VE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WB_QUADRI_VERTI"/>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34000" cy="1080000"/>
                    </a:xfrm>
                    <a:prstGeom prst="rect">
                      <a:avLst/>
                    </a:prstGeom>
                    <a:noFill/>
                  </pic:spPr>
                </pic:pic>
              </a:graphicData>
            </a:graphic>
            <wp14:sizeRelH relativeFrom="page">
              <wp14:pctWidth>0</wp14:pctWidth>
            </wp14:sizeRelH>
            <wp14:sizeRelV relativeFrom="page">
              <wp14:pctHeight>0</wp14:pctHeight>
            </wp14:sizeRelV>
          </wp:anchor>
        </w:drawing>
      </w:r>
    </w:p>
    <w:p>
      <w:pPr>
        <w:pBdr>
          <w:top w:val="single" w:sz="4" w:space="1" w:color="auto"/>
          <w:left w:val="single" w:sz="4" w:space="4" w:color="auto"/>
          <w:bottom w:val="single" w:sz="4" w:space="1" w:color="auto"/>
          <w:right w:val="single" w:sz="4" w:space="4" w:color="auto"/>
        </w:pBdr>
        <w:ind w:left="2880"/>
        <w:jc w:val="center"/>
        <w:rPr>
          <w:rFonts w:asciiTheme="minorHAnsi" w:hAnsiTheme="minorHAnsi" w:cstheme="minorHAnsi"/>
          <w:b/>
          <w:caps/>
          <w:sz w:val="20"/>
          <w:szCs w:val="20"/>
        </w:rPr>
      </w:pPr>
      <w:r>
        <w:rPr>
          <w:rFonts w:asciiTheme="minorHAnsi" w:hAnsiTheme="minorHAnsi" w:cstheme="minorHAnsi"/>
          <w:b/>
          <w:sz w:val="20"/>
          <w:szCs w:val="20"/>
        </w:rPr>
        <w:t xml:space="preserve">DECLARATION </w:t>
      </w:r>
      <w:r>
        <w:rPr>
          <w:rFonts w:asciiTheme="minorHAnsi" w:hAnsiTheme="minorHAnsi" w:cstheme="minorHAnsi"/>
          <w:b/>
          <w:caps/>
          <w:sz w:val="20"/>
          <w:szCs w:val="20"/>
        </w:rPr>
        <w:t xml:space="preserve">sur l’honneur </w:t>
      </w:r>
      <w:r>
        <w:rPr>
          <w:rFonts w:asciiTheme="minorHAnsi" w:hAnsiTheme="minorHAnsi" w:cstheme="minorHAnsi"/>
          <w:b/>
          <w:sz w:val="20"/>
          <w:szCs w:val="20"/>
        </w:rPr>
        <w:t xml:space="preserve">POUR LE REMBOURSEMENT DE FRAIS DE DEPLACEMENT </w:t>
      </w:r>
      <w:r>
        <w:rPr>
          <w:rFonts w:asciiTheme="minorHAnsi" w:hAnsiTheme="minorHAnsi" w:cstheme="minorHAnsi"/>
          <w:b/>
          <w:caps/>
          <w:sz w:val="20"/>
          <w:szCs w:val="20"/>
        </w:rPr>
        <w:t>occasionnés</w:t>
      </w:r>
      <w:r>
        <w:rPr>
          <w:rFonts w:asciiTheme="minorHAnsi" w:hAnsiTheme="minorHAnsi" w:cstheme="minorHAnsi"/>
          <w:b/>
          <w:sz w:val="20"/>
          <w:szCs w:val="20"/>
        </w:rPr>
        <w:t xml:space="preserve"> </w:t>
      </w:r>
      <w:r>
        <w:rPr>
          <w:rFonts w:asciiTheme="minorHAnsi" w:hAnsiTheme="minorHAnsi" w:cstheme="minorHAnsi"/>
          <w:b/>
          <w:caps/>
          <w:sz w:val="20"/>
          <w:szCs w:val="20"/>
        </w:rPr>
        <w:t>lors d’une</w:t>
      </w:r>
      <w:r>
        <w:rPr>
          <w:rFonts w:asciiTheme="minorHAnsi" w:hAnsiTheme="minorHAnsi" w:cstheme="minorHAnsi"/>
          <w:b/>
          <w:sz w:val="20"/>
          <w:szCs w:val="20"/>
        </w:rPr>
        <w:t xml:space="preserve"> FORMATION SUIVIE EN CTA</w:t>
      </w:r>
    </w:p>
    <w:p>
      <w:pPr>
        <w:pBdr>
          <w:top w:val="single" w:sz="4" w:space="1" w:color="auto"/>
          <w:left w:val="single" w:sz="4" w:space="4" w:color="auto"/>
          <w:bottom w:val="single" w:sz="4" w:space="1" w:color="auto"/>
          <w:right w:val="single" w:sz="4" w:space="4" w:color="auto"/>
        </w:pBdr>
        <w:ind w:left="2880"/>
        <w:jc w:val="center"/>
        <w:rPr>
          <w:rFonts w:asciiTheme="minorHAnsi" w:hAnsiTheme="minorHAnsi" w:cstheme="minorHAnsi"/>
          <w:b/>
          <w:sz w:val="20"/>
          <w:szCs w:val="20"/>
        </w:rPr>
      </w:pPr>
      <w:r>
        <w:rPr>
          <w:rFonts w:asciiTheme="minorHAnsi" w:hAnsiTheme="minorHAnsi" w:cstheme="minorHAnsi"/>
          <w:b/>
          <w:sz w:val="20"/>
          <w:szCs w:val="20"/>
        </w:rPr>
        <w:t>Déplacement en autocar de l’école</w:t>
      </w:r>
    </w:p>
    <w:p>
      <w:pPr>
        <w:rPr>
          <w:rFonts w:asciiTheme="minorHAnsi" w:hAnsiTheme="minorHAnsi" w:cstheme="minorHAnsi"/>
          <w:sz w:val="20"/>
          <w:szCs w:val="20"/>
        </w:rPr>
      </w:pPr>
    </w:p>
    <w:p>
      <w:pPr>
        <w:rPr>
          <w:rFonts w:asciiTheme="minorHAnsi" w:hAnsiTheme="minorHAnsi" w:cstheme="minorHAnsi"/>
          <w:sz w:val="20"/>
          <w:szCs w:val="20"/>
        </w:rPr>
      </w:pPr>
    </w:p>
    <w:p>
      <w:pPr>
        <w:rPr>
          <w:rFonts w:asciiTheme="minorHAnsi" w:hAnsiTheme="minorHAnsi" w:cstheme="minorHAnsi"/>
          <w:sz w:val="20"/>
          <w:szCs w:val="20"/>
        </w:rPr>
      </w:pPr>
    </w:p>
    <w:p>
      <w:pPr>
        <w:rPr>
          <w:rFonts w:asciiTheme="minorHAnsi" w:hAnsiTheme="minorHAnsi" w:cstheme="minorHAnsi"/>
          <w:sz w:val="20"/>
          <w:szCs w:val="20"/>
        </w:rPr>
      </w:pPr>
    </w:p>
    <w:p>
      <w:pPr>
        <w:spacing w:line="360" w:lineRule="auto"/>
        <w:rPr>
          <w:rFonts w:asciiTheme="minorHAnsi" w:hAnsiTheme="minorHAnsi" w:cstheme="minorHAnsi"/>
          <w:sz w:val="20"/>
          <w:szCs w:val="20"/>
        </w:rPr>
      </w:pPr>
      <w:r>
        <w:rPr>
          <w:rFonts w:asciiTheme="minorHAnsi" w:hAnsiTheme="minorHAnsi" w:cstheme="minorHAnsi"/>
          <w:sz w:val="20"/>
          <w:szCs w:val="20"/>
        </w:rPr>
        <w:t>Je soussigné(e),</w:t>
      </w:r>
    </w:p>
    <w:p>
      <w:pPr>
        <w:spacing w:line="360" w:lineRule="auto"/>
        <w:rPr>
          <w:rFonts w:asciiTheme="minorHAnsi" w:hAnsiTheme="minorHAnsi" w:cstheme="minorHAnsi"/>
          <w:sz w:val="20"/>
          <w:szCs w:val="20"/>
        </w:rPr>
      </w:pPr>
      <w:r>
        <w:rPr>
          <w:rFonts w:asciiTheme="minorHAnsi" w:hAnsiTheme="minorHAnsi" w:cstheme="minorHAnsi"/>
          <w:sz w:val="20"/>
          <w:szCs w:val="20"/>
        </w:rPr>
        <w:t>Nom, Prénom, Fonction :</w:t>
      </w:r>
    </w:p>
    <w:p>
      <w:pPr>
        <w:spacing w:line="360" w:lineRule="auto"/>
        <w:rPr>
          <w:rFonts w:asciiTheme="minorHAnsi" w:hAnsiTheme="minorHAnsi" w:cstheme="minorHAnsi"/>
          <w:sz w:val="20"/>
          <w:szCs w:val="20"/>
        </w:rPr>
      </w:pPr>
      <w:r>
        <w:rPr>
          <w:rFonts w:asciiTheme="minorHAnsi" w:hAnsiTheme="minorHAnsi" w:cstheme="minorHAnsi"/>
          <w:sz w:val="20"/>
          <w:szCs w:val="20"/>
        </w:rPr>
        <w:t>Nom de l’établissement :</w:t>
      </w:r>
    </w:p>
    <w:p>
      <w:pPr>
        <w:spacing w:line="360" w:lineRule="auto"/>
        <w:rPr>
          <w:rFonts w:asciiTheme="minorHAnsi" w:hAnsiTheme="minorHAnsi" w:cstheme="minorHAnsi"/>
          <w:sz w:val="20"/>
          <w:szCs w:val="20"/>
        </w:rPr>
      </w:pPr>
      <w:r>
        <w:rPr>
          <w:rFonts w:asciiTheme="minorHAnsi" w:hAnsiTheme="minorHAnsi" w:cstheme="minorHAnsi"/>
          <w:sz w:val="20"/>
          <w:szCs w:val="20"/>
        </w:rPr>
        <w:t>Adresse de l’établissement :</w:t>
      </w:r>
    </w:p>
    <w:p>
      <w:pPr>
        <w:spacing w:line="360" w:lineRule="auto"/>
        <w:rPr>
          <w:rFonts w:asciiTheme="minorHAnsi" w:hAnsiTheme="minorHAnsi" w:cstheme="minorHAnsi"/>
          <w:sz w:val="20"/>
          <w:szCs w:val="20"/>
        </w:rPr>
      </w:pPr>
      <w:r>
        <w:rPr>
          <w:rFonts w:asciiTheme="minorHAnsi" w:hAnsiTheme="minorHAnsi" w:cstheme="minorHAnsi"/>
          <w:sz w:val="20"/>
          <w:szCs w:val="20"/>
        </w:rPr>
        <w:t>Coordonnées bancaires du déclarant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IBAN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BIC :</w:t>
      </w:r>
    </w:p>
    <w:p>
      <w:pPr>
        <w:spacing w:line="360" w:lineRule="auto"/>
        <w:rPr>
          <w:rFonts w:asciiTheme="minorHAnsi" w:hAnsiTheme="minorHAnsi" w:cstheme="minorHAnsi"/>
          <w:sz w:val="20"/>
          <w:szCs w:val="20"/>
        </w:rPr>
      </w:pPr>
      <w:r>
        <w:rPr>
          <w:rFonts w:asciiTheme="minorHAnsi" w:hAnsiTheme="minorHAnsi" w:cstheme="minorHAnsi"/>
          <w:sz w:val="20"/>
          <w:szCs w:val="20"/>
        </w:rPr>
        <w:tab/>
        <w:t>Nom titulaire compte :</w:t>
      </w:r>
    </w:p>
    <w:p>
      <w:pPr>
        <w:spacing w:line="360" w:lineRule="auto"/>
        <w:rPr>
          <w:rFonts w:asciiTheme="minorHAnsi" w:hAnsiTheme="minorHAnsi" w:cstheme="minorHAnsi"/>
          <w:sz w:val="20"/>
          <w:szCs w:val="20"/>
        </w:rPr>
      </w:pPr>
      <w:r>
        <w:rPr>
          <w:rFonts w:asciiTheme="minorHAnsi" w:hAnsiTheme="minorHAnsi" w:cstheme="minorHAnsi"/>
          <w:sz w:val="20"/>
          <w:szCs w:val="20"/>
        </w:rPr>
        <w:tab/>
        <w:t>Adresse titulaire compte :</w:t>
      </w:r>
    </w:p>
    <w:p>
      <w:pPr>
        <w:rPr>
          <w:rFonts w:asciiTheme="minorHAnsi" w:hAnsiTheme="minorHAnsi" w:cstheme="minorHAnsi"/>
          <w:sz w:val="20"/>
          <w:szCs w:val="20"/>
        </w:rPr>
      </w:pPr>
    </w:p>
    <w:p>
      <w:pPr>
        <w:spacing w:after="120"/>
        <w:rPr>
          <w:rFonts w:asciiTheme="minorHAnsi" w:hAnsiTheme="minorHAnsi" w:cstheme="minorHAnsi"/>
          <w:sz w:val="20"/>
          <w:szCs w:val="20"/>
        </w:rPr>
      </w:pPr>
      <w:r>
        <w:rPr>
          <w:rFonts w:asciiTheme="minorHAnsi" w:hAnsiTheme="minorHAnsi" w:cstheme="minorHAnsi"/>
          <w:sz w:val="20"/>
          <w:szCs w:val="20"/>
        </w:rPr>
        <w:t>Déclare par la présente avoir parcouru les kilomètres suivants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9"/>
        <w:gridCol w:w="2267"/>
        <w:gridCol w:w="2276"/>
        <w:gridCol w:w="2260"/>
      </w:tblGrid>
      <w:tr>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Date</w:t>
            </w: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Nombre km</w:t>
            </w: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Index kilométrique</w:t>
            </w: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Total</w:t>
            </w:r>
          </w:p>
        </w:tc>
      </w:tr>
      <w:tr>
        <w:tc>
          <w:tcPr>
            <w:tcW w:w="2303" w:type="dxa"/>
          </w:tcPr>
          <w:p>
            <w:pPr>
              <w:rPr>
                <w:rFonts w:asciiTheme="minorHAnsi" w:hAnsiTheme="minorHAnsi" w:cstheme="minorHAnsi"/>
                <w:sz w:val="20"/>
                <w:szCs w:val="20"/>
              </w:rPr>
            </w:pPr>
          </w:p>
        </w:tc>
        <w:tc>
          <w:tcPr>
            <w:tcW w:w="2303" w:type="dxa"/>
          </w:tcPr>
          <w:p>
            <w:pPr>
              <w:rPr>
                <w:rFonts w:asciiTheme="minorHAnsi" w:hAnsiTheme="minorHAnsi" w:cstheme="minorHAnsi"/>
                <w:sz w:val="20"/>
                <w:szCs w:val="20"/>
              </w:rPr>
            </w:pP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0,85</w:t>
            </w:r>
          </w:p>
        </w:tc>
        <w:tc>
          <w:tcPr>
            <w:tcW w:w="2303" w:type="dxa"/>
          </w:tcPr>
          <w:p>
            <w:pPr>
              <w:rPr>
                <w:rFonts w:asciiTheme="minorHAnsi" w:hAnsiTheme="minorHAnsi" w:cstheme="minorHAnsi"/>
                <w:sz w:val="20"/>
                <w:szCs w:val="20"/>
              </w:rPr>
            </w:pPr>
          </w:p>
        </w:tc>
      </w:tr>
      <w:tr>
        <w:tc>
          <w:tcPr>
            <w:tcW w:w="2303" w:type="dxa"/>
          </w:tcPr>
          <w:p>
            <w:pPr>
              <w:rPr>
                <w:rFonts w:asciiTheme="minorHAnsi" w:hAnsiTheme="minorHAnsi" w:cstheme="minorHAnsi"/>
                <w:sz w:val="20"/>
                <w:szCs w:val="20"/>
              </w:rPr>
            </w:pPr>
          </w:p>
        </w:tc>
        <w:tc>
          <w:tcPr>
            <w:tcW w:w="2303" w:type="dxa"/>
          </w:tcPr>
          <w:p>
            <w:pPr>
              <w:rPr>
                <w:rFonts w:asciiTheme="minorHAnsi" w:hAnsiTheme="minorHAnsi" w:cstheme="minorHAnsi"/>
                <w:sz w:val="20"/>
                <w:szCs w:val="20"/>
              </w:rPr>
            </w:pP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0,85</w:t>
            </w:r>
          </w:p>
        </w:tc>
        <w:tc>
          <w:tcPr>
            <w:tcW w:w="2303" w:type="dxa"/>
          </w:tcPr>
          <w:p>
            <w:pPr>
              <w:rPr>
                <w:rFonts w:asciiTheme="minorHAnsi" w:hAnsiTheme="minorHAnsi" w:cstheme="minorHAnsi"/>
                <w:sz w:val="20"/>
                <w:szCs w:val="20"/>
              </w:rPr>
            </w:pPr>
          </w:p>
        </w:tc>
      </w:tr>
      <w:tr>
        <w:tc>
          <w:tcPr>
            <w:tcW w:w="2303" w:type="dxa"/>
          </w:tcPr>
          <w:p>
            <w:pPr>
              <w:rPr>
                <w:rFonts w:asciiTheme="minorHAnsi" w:hAnsiTheme="minorHAnsi" w:cstheme="minorHAnsi"/>
                <w:sz w:val="20"/>
                <w:szCs w:val="20"/>
              </w:rPr>
            </w:pPr>
          </w:p>
        </w:tc>
        <w:tc>
          <w:tcPr>
            <w:tcW w:w="2303" w:type="dxa"/>
          </w:tcPr>
          <w:p>
            <w:pPr>
              <w:rPr>
                <w:rFonts w:asciiTheme="minorHAnsi" w:hAnsiTheme="minorHAnsi" w:cstheme="minorHAnsi"/>
                <w:sz w:val="20"/>
                <w:szCs w:val="20"/>
              </w:rPr>
            </w:pP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0,85</w:t>
            </w:r>
          </w:p>
        </w:tc>
        <w:tc>
          <w:tcPr>
            <w:tcW w:w="2303" w:type="dxa"/>
          </w:tcPr>
          <w:p>
            <w:pPr>
              <w:rPr>
                <w:rFonts w:asciiTheme="minorHAnsi" w:hAnsiTheme="minorHAnsi" w:cstheme="minorHAnsi"/>
                <w:sz w:val="20"/>
                <w:szCs w:val="20"/>
              </w:rPr>
            </w:pPr>
          </w:p>
        </w:tc>
      </w:tr>
      <w:tr>
        <w:tc>
          <w:tcPr>
            <w:tcW w:w="2303" w:type="dxa"/>
          </w:tcPr>
          <w:p>
            <w:pPr>
              <w:rPr>
                <w:rFonts w:asciiTheme="minorHAnsi" w:hAnsiTheme="minorHAnsi" w:cstheme="minorHAnsi"/>
                <w:sz w:val="20"/>
                <w:szCs w:val="20"/>
              </w:rPr>
            </w:pPr>
          </w:p>
        </w:tc>
        <w:tc>
          <w:tcPr>
            <w:tcW w:w="2303" w:type="dxa"/>
          </w:tcPr>
          <w:p>
            <w:pPr>
              <w:rPr>
                <w:rFonts w:asciiTheme="minorHAnsi" w:hAnsiTheme="minorHAnsi" w:cstheme="minorHAnsi"/>
                <w:sz w:val="20"/>
                <w:szCs w:val="20"/>
              </w:rPr>
            </w:pP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0,85</w:t>
            </w:r>
          </w:p>
        </w:tc>
        <w:tc>
          <w:tcPr>
            <w:tcW w:w="2303" w:type="dxa"/>
          </w:tcPr>
          <w:p>
            <w:pPr>
              <w:rPr>
                <w:rFonts w:asciiTheme="minorHAnsi" w:hAnsiTheme="minorHAnsi" w:cstheme="minorHAnsi"/>
                <w:sz w:val="20"/>
                <w:szCs w:val="20"/>
              </w:rPr>
            </w:pPr>
          </w:p>
        </w:tc>
      </w:tr>
      <w:tr>
        <w:tc>
          <w:tcPr>
            <w:tcW w:w="6909" w:type="dxa"/>
            <w:gridSpan w:val="3"/>
          </w:tcPr>
          <w:p>
            <w:pPr>
              <w:jc w:val="center"/>
              <w:rPr>
                <w:rFonts w:asciiTheme="minorHAnsi" w:hAnsiTheme="minorHAnsi" w:cstheme="minorHAnsi"/>
                <w:b/>
                <w:sz w:val="20"/>
                <w:szCs w:val="20"/>
              </w:rPr>
            </w:pPr>
            <w:r>
              <w:rPr>
                <w:rFonts w:asciiTheme="minorHAnsi" w:hAnsiTheme="minorHAnsi" w:cstheme="minorHAnsi"/>
                <w:b/>
                <w:sz w:val="20"/>
                <w:szCs w:val="20"/>
              </w:rPr>
              <w:t>TOTAL GLOBAL</w:t>
            </w:r>
          </w:p>
        </w:tc>
        <w:tc>
          <w:tcPr>
            <w:tcW w:w="2303" w:type="dxa"/>
          </w:tcPr>
          <w:p>
            <w:pPr>
              <w:rPr>
                <w:rFonts w:asciiTheme="minorHAnsi" w:hAnsiTheme="minorHAnsi" w:cstheme="minorHAnsi"/>
                <w:b/>
                <w:sz w:val="20"/>
                <w:szCs w:val="20"/>
              </w:rPr>
            </w:pPr>
          </w:p>
        </w:tc>
      </w:tr>
    </w:tbl>
    <w:p>
      <w:pPr>
        <w:spacing w:before="360" w:line="480" w:lineRule="auto"/>
        <w:rPr>
          <w:rFonts w:asciiTheme="minorHAnsi" w:hAnsiTheme="minorHAnsi" w:cstheme="minorHAnsi"/>
          <w:sz w:val="20"/>
          <w:szCs w:val="20"/>
        </w:rPr>
      </w:pPr>
      <w:r>
        <w:rPr>
          <w:rFonts w:asciiTheme="minorHAnsi" w:hAnsiTheme="minorHAnsi" w:cstheme="minorHAnsi"/>
          <w:sz w:val="20"/>
          <w:szCs w:val="20"/>
        </w:rPr>
        <w:t xml:space="preserve">Le montant total des frais à rembourser s’élève à (écrire en toutes lettres) : </w:t>
      </w:r>
    </w:p>
    <w:p>
      <w:pPr>
        <w:rPr>
          <w:rFonts w:asciiTheme="minorHAnsi" w:hAnsiTheme="minorHAnsi" w:cstheme="minorHAnsi"/>
          <w:sz w:val="20"/>
          <w:szCs w:val="20"/>
        </w:rPr>
      </w:pPr>
    </w:p>
    <w:p>
      <w:pPr>
        <w:rPr>
          <w:rFonts w:asciiTheme="minorHAnsi" w:hAnsiTheme="minorHAnsi" w:cstheme="minorHAnsi"/>
          <w:sz w:val="20"/>
          <w:szCs w:val="20"/>
        </w:rPr>
      </w:pPr>
      <w:r>
        <w:rPr>
          <w:rFonts w:asciiTheme="minorHAnsi" w:hAnsiTheme="minorHAnsi" w:cstheme="minorHAnsi"/>
          <w:sz w:val="20"/>
          <w:szCs w:val="20"/>
        </w:rPr>
        <w:t>Dans le cadre de la formation (intitulé) :</w:t>
      </w:r>
    </w:p>
    <w:p>
      <w:pPr>
        <w:rPr>
          <w:rFonts w:asciiTheme="minorHAnsi" w:hAnsiTheme="minorHAnsi" w:cstheme="minorHAnsi"/>
          <w:sz w:val="20"/>
          <w:szCs w:val="20"/>
        </w:rPr>
      </w:pPr>
    </w:p>
    <w:p>
      <w:pPr>
        <w:rPr>
          <w:rFonts w:asciiTheme="minorHAnsi" w:hAnsiTheme="minorHAnsi" w:cstheme="minorHAnsi"/>
          <w:sz w:val="20"/>
          <w:szCs w:val="20"/>
        </w:rPr>
      </w:pPr>
      <w:r>
        <w:rPr>
          <w:rFonts w:asciiTheme="minorHAnsi" w:hAnsiTheme="minorHAnsi" w:cstheme="minorHAnsi"/>
          <w:sz w:val="20"/>
          <w:szCs w:val="20"/>
        </w:rPr>
        <w:t>Qui a eu lieu du                              au</w:t>
      </w:r>
    </w:p>
    <w:p>
      <w:pPr>
        <w:rPr>
          <w:rFonts w:asciiTheme="minorHAnsi" w:hAnsiTheme="minorHAnsi" w:cstheme="minorHAnsi"/>
          <w:sz w:val="20"/>
          <w:szCs w:val="20"/>
        </w:rPr>
      </w:pPr>
    </w:p>
    <w:p>
      <w:pPr>
        <w:rPr>
          <w:rFonts w:asciiTheme="minorHAnsi" w:hAnsiTheme="minorHAnsi" w:cstheme="minorHAnsi"/>
          <w:sz w:val="20"/>
          <w:szCs w:val="20"/>
        </w:rPr>
      </w:pPr>
      <w:r>
        <w:rPr>
          <w:rFonts w:asciiTheme="minorHAnsi" w:hAnsiTheme="minorHAnsi" w:cstheme="minorHAnsi"/>
          <w:sz w:val="20"/>
          <w:szCs w:val="20"/>
        </w:rPr>
        <w:t>Dans le Centre de Technologies Avancées (intitulé) :</w:t>
      </w:r>
    </w:p>
    <w:p>
      <w:pPr>
        <w:rPr>
          <w:rFonts w:asciiTheme="minorHAnsi" w:hAnsiTheme="minorHAnsi" w:cstheme="minorHAnsi"/>
          <w:sz w:val="20"/>
          <w:szCs w:val="20"/>
        </w:rPr>
      </w:pPr>
    </w:p>
    <w:p>
      <w:pPr>
        <w:rPr>
          <w:rFonts w:asciiTheme="minorHAnsi" w:hAnsiTheme="minorHAnsi" w:cstheme="minorHAnsi"/>
          <w:b/>
          <w:sz w:val="20"/>
          <w:szCs w:val="20"/>
        </w:rPr>
      </w:pPr>
      <w:r>
        <w:rPr>
          <w:rFonts w:asciiTheme="minorHAnsi" w:hAnsiTheme="minorHAnsi" w:cstheme="minorHAnsi"/>
          <w:b/>
          <w:sz w:val="20"/>
          <w:szCs w:val="20"/>
        </w:rPr>
        <w:t>J’affirme sur l’honneur que la présente déclaration est sincère et complète.</w:t>
      </w:r>
    </w:p>
    <w:p>
      <w:pPr>
        <w:rPr>
          <w:rFonts w:asciiTheme="minorHAnsi" w:hAnsiTheme="minorHAnsi" w:cstheme="minorHAnsi"/>
          <w:sz w:val="20"/>
          <w:szCs w:val="20"/>
        </w:rPr>
      </w:pPr>
    </w:p>
    <w:p>
      <w:pPr>
        <w:rPr>
          <w:rFonts w:asciiTheme="minorHAnsi" w:hAnsiTheme="minorHAnsi" w:cstheme="minorHAnsi"/>
          <w:sz w:val="20"/>
          <w:szCs w:val="20"/>
        </w:rPr>
      </w:pPr>
      <w:r>
        <w:rPr>
          <w:rFonts w:asciiTheme="minorHAnsi" w:hAnsiTheme="minorHAnsi" w:cstheme="minorHAnsi"/>
          <w:b/>
          <w:noProof/>
          <w:sz w:val="20"/>
          <w:szCs w:val="20"/>
          <w:u w:val="single"/>
          <w:lang w:eastAsia="fr-BE"/>
        </w:rPr>
        <mc:AlternateContent>
          <mc:Choice Requires="wps">
            <w:drawing>
              <wp:anchor distT="0" distB="0" distL="114300" distR="114300" simplePos="0" relativeHeight="251646976" behindDoc="0" locked="0" layoutInCell="1" allowOverlap="1">
                <wp:simplePos x="0" y="0"/>
                <wp:positionH relativeFrom="column">
                  <wp:posOffset>3780155</wp:posOffset>
                </wp:positionH>
                <wp:positionV relativeFrom="paragraph">
                  <wp:posOffset>68211</wp:posOffset>
                </wp:positionV>
                <wp:extent cx="1801495" cy="1701800"/>
                <wp:effectExtent l="12700" t="9525" r="5080" b="12700"/>
                <wp:wrapNone/>
                <wp:docPr id="98"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1495" cy="1701800"/>
                        </a:xfrm>
                        <a:prstGeom prst="rect">
                          <a:avLst/>
                        </a:prstGeom>
                        <a:solidFill>
                          <a:srgbClr val="FFFFFF"/>
                        </a:solidFill>
                        <a:ln w="9525">
                          <a:solidFill>
                            <a:srgbClr val="000000"/>
                          </a:solidFill>
                          <a:miter lim="800000"/>
                          <a:headEnd/>
                          <a:tailEnd/>
                        </a:ln>
                      </wps:spPr>
                      <wps:txbx>
                        <w:txbxContent>
                          <w:p>
                            <w:pPr>
                              <w:jc w:val="center"/>
                              <w:rPr>
                                <w:rFonts w:ascii="Calibri" w:hAnsi="Calibri" w:cs="Calibri"/>
                                <w:sz w:val="20"/>
                                <w:szCs w:val="20"/>
                              </w:rPr>
                            </w:pPr>
                            <w:r>
                              <w:rPr>
                                <w:rFonts w:ascii="Calibri" w:hAnsi="Calibri" w:cs="Calibri"/>
                                <w:b/>
                                <w:sz w:val="20"/>
                                <w:szCs w:val="20"/>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(signature + cachet)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2" o:spid="_x0000_s1026" type="#_x0000_t202" style="position:absolute;margin-left:297.65pt;margin-top:5.35pt;width:141.85pt;height:134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GuKgIAAFMEAAAOAAAAZHJzL2Uyb0RvYy54bWysVM1u2zAMvg/YOwi6L7aDZGmMOEWXLsOA&#10;7gdo9wCyLNvCJFGTlNjd04+S0zTotsswHQTSpD6SH0lvrketyFE4L8FUtJjllAjDoZGmq+i3h/2b&#10;K0p8YKZhCoyo6KPw9Hr7+tVmsKWYQw+qEY4giPHlYCvah2DLLPO8F5r5GVhh0NiC0yyg6rqscWxA&#10;dK2yeZ6/zQZwjXXAhff49XYy0m3Cb1vBw5e29SIQVVHMLaTbpbuOd7bdsLJzzPaSn9Jg/5CFZtJg&#10;0DPULQuMHJz8DUpL7sBDG2YcdAZtK7lINWA1Rf6imvueWZFqQXK8PdPk/x8s/3z86ohsKrrGThmm&#10;sUcPYgzkHYxkNY/8DNaX6HZv0TGM+B37nGr19g74d08M7HpmOnHjHAy9YA3mV8SX2cXTCcdHkHr4&#10;BA3GYYcACWhsnY7kIR0E0bFPj+fexFx4DHmVF4v1khKOtmKVo566l7Hy6bl1PnwQoEkUKuqw+Qme&#10;He98iOmw8sklRvOgZLOXSiXFdfVOOXJkOCj7dFIFL9yUIQNStZwvJwb+CpGn8ycILQNOvJK6olgC&#10;nujEysjbe9MkOTCpJhlTVuZEZORuYjGM9YiOkd0amkek1ME02biJKPTgflIy4FRX1P84MCcoUR8N&#10;tmVdLBZxDZKyWK7mqLhLS31pYYYjVEUDJZO4C9PqHKyTXY+RpkEwcIOtbGUi+TmrU944uYn705bF&#10;1bjUk9fzv2D7CwAA//8DAFBLAwQUAAYACAAAACEAQ4VLVeAAAAAKAQAADwAAAGRycy9kb3ducmV2&#10;LnhtbEyPy07DMBBF90j8gzVIbBB1aGmdhDgVQgLBDtoKtm48TSL8CLabhr9nWMFydI/unFutJ2vY&#10;iCH23km4mWXA0DVe966VsNs+XufAYlJOK+MdSvjGCOv6/KxSpfYn94bjJrWMSlwslYQupaHkPDYd&#10;WhVnfkBH2cEHqxKdoeU6qBOVW8PnWbbiVvWOPnRqwIcOm8/N0UrIb5/Hj/iyeH1vVgdTpCsxPn0F&#10;KS8vpvs7YAmn9AfDrz6pQ01Oe390OjIjYVksF4RSkAlgBOSioHF7CXORC+B1xf9PqH8AAAD//wMA&#10;UEsBAi0AFAAGAAgAAAAhALaDOJL+AAAA4QEAABMAAAAAAAAAAAAAAAAAAAAAAFtDb250ZW50X1R5&#10;cGVzXS54bWxQSwECLQAUAAYACAAAACEAOP0h/9YAAACUAQAACwAAAAAAAAAAAAAAAAAvAQAAX3Jl&#10;bHMvLnJlbHNQSwECLQAUAAYACAAAACEAvuBBrioCAABTBAAADgAAAAAAAAAAAAAAAAAuAgAAZHJz&#10;L2Uyb0RvYy54bWxQSwECLQAUAAYACAAAACEAQ4VLVeAAAAAKAQAADwAAAAAAAAAAAAAAAACEBAAA&#10;ZHJzL2Rvd25yZXYueG1sUEsFBgAAAAAEAAQA8wAAAJEFAAAAAA==&#10;">
                <v:textbox>
                  <w:txbxContent>
                    <w:p>
                      <w:pPr>
                        <w:jc w:val="center"/>
                        <w:rPr>
                          <w:rFonts w:ascii="Calibri" w:hAnsi="Calibri" w:cs="Calibri"/>
                          <w:sz w:val="20"/>
                          <w:szCs w:val="20"/>
                        </w:rPr>
                      </w:pPr>
                      <w:r>
                        <w:rPr>
                          <w:rFonts w:ascii="Calibri" w:hAnsi="Calibri" w:cs="Calibri"/>
                          <w:b/>
                          <w:sz w:val="20"/>
                          <w:szCs w:val="20"/>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w:t>
                      </w:r>
                      <w:proofErr w:type="gramStart"/>
                      <w:r>
                        <w:rPr>
                          <w:rFonts w:ascii="Calibri" w:hAnsi="Calibri" w:cs="Calibri"/>
                          <w:i/>
                          <w:sz w:val="20"/>
                          <w:szCs w:val="20"/>
                        </w:rPr>
                        <w:t>signature</w:t>
                      </w:r>
                      <w:proofErr w:type="gramEnd"/>
                      <w:r>
                        <w:rPr>
                          <w:rFonts w:ascii="Calibri" w:hAnsi="Calibri" w:cs="Calibri"/>
                          <w:i/>
                          <w:sz w:val="20"/>
                          <w:szCs w:val="20"/>
                        </w:rPr>
                        <w:t xml:space="preserve"> + cachet)</w:t>
                      </w:r>
                    </w:p>
                  </w:txbxContent>
                </v:textbox>
              </v:shape>
            </w:pict>
          </mc:Fallback>
        </mc:AlternateContent>
      </w:r>
      <w:r>
        <w:rPr>
          <w:rFonts w:asciiTheme="minorHAnsi" w:hAnsiTheme="minorHAnsi" w:cstheme="minorHAnsi"/>
          <w:sz w:val="20"/>
          <w:szCs w:val="20"/>
        </w:rPr>
        <w:t>Fait à                                                                           , le</w:t>
      </w:r>
    </w:p>
    <w:p>
      <w:pPr>
        <w:rPr>
          <w:rFonts w:asciiTheme="minorHAnsi" w:hAnsiTheme="minorHAnsi" w:cstheme="minorHAnsi"/>
          <w:sz w:val="20"/>
          <w:szCs w:val="20"/>
        </w:rPr>
      </w:pPr>
    </w:p>
    <w:p>
      <w:pPr>
        <w:rPr>
          <w:rFonts w:asciiTheme="minorHAnsi" w:hAnsiTheme="minorHAnsi" w:cstheme="minorHAnsi"/>
          <w:sz w:val="20"/>
          <w:szCs w:val="20"/>
        </w:rPr>
      </w:pPr>
      <w:r>
        <w:rPr>
          <w:rFonts w:asciiTheme="minorHAnsi" w:hAnsiTheme="minorHAnsi" w:cstheme="minorHAnsi"/>
          <w:sz w:val="20"/>
          <w:szCs w:val="20"/>
        </w:rPr>
        <w:t>Signature et cachet de la direction ou de l’économe :</w:t>
      </w:r>
    </w:p>
    <w:p>
      <w:pPr>
        <w:rPr>
          <w:rFonts w:asciiTheme="minorHAnsi" w:hAnsiTheme="minorHAnsi" w:cstheme="minorHAnsi"/>
          <w:sz w:val="20"/>
          <w:szCs w:val="20"/>
        </w:rPr>
      </w:pPr>
    </w:p>
    <w:p>
      <w:pPr>
        <w:rPr>
          <w:rFonts w:asciiTheme="minorHAnsi" w:hAnsiTheme="minorHAnsi" w:cstheme="minorHAnsi"/>
          <w:b/>
          <w:sz w:val="20"/>
          <w:szCs w:val="20"/>
          <w:u w:val="single"/>
        </w:rPr>
      </w:pPr>
    </w:p>
    <w:p>
      <w:pPr>
        <w:rPr>
          <w:rFonts w:asciiTheme="minorHAnsi" w:hAnsiTheme="minorHAnsi" w:cstheme="minorHAnsi"/>
          <w:b/>
          <w:sz w:val="20"/>
          <w:szCs w:val="20"/>
          <w:u w:val="single"/>
        </w:rPr>
      </w:pPr>
    </w:p>
    <w:p>
      <w:pPr>
        <w:rPr>
          <w:rFonts w:asciiTheme="minorHAnsi" w:hAnsiTheme="minorHAnsi" w:cstheme="minorHAnsi"/>
          <w:b/>
          <w:sz w:val="16"/>
          <w:szCs w:val="16"/>
          <w:u w:val="single"/>
        </w:rPr>
      </w:pPr>
      <w:r>
        <w:rPr>
          <w:rFonts w:asciiTheme="minorHAnsi" w:hAnsiTheme="minorHAnsi" w:cstheme="minorHAnsi"/>
          <w:b/>
          <w:sz w:val="16"/>
          <w:szCs w:val="16"/>
          <w:u w:val="single"/>
        </w:rPr>
        <w:t>A transmettre à :</w:t>
      </w:r>
    </w:p>
    <w:p>
      <w:pPr>
        <w:rPr>
          <w:rFonts w:asciiTheme="minorHAnsi" w:hAnsiTheme="minorHAnsi" w:cstheme="minorHAnsi"/>
          <w:sz w:val="16"/>
          <w:szCs w:val="16"/>
        </w:rPr>
      </w:pPr>
      <w:r>
        <w:rPr>
          <w:rFonts w:asciiTheme="minorHAnsi" w:hAnsiTheme="minorHAnsi" w:cstheme="minorHAnsi"/>
          <w:sz w:val="16"/>
          <w:szCs w:val="16"/>
        </w:rPr>
        <w:t>Direction générale de l’Enseignement obligatoire</w:t>
      </w:r>
    </w:p>
    <w:p>
      <w:pPr>
        <w:rPr>
          <w:rFonts w:asciiTheme="minorHAnsi" w:hAnsiTheme="minorHAnsi" w:cstheme="minorHAnsi"/>
          <w:sz w:val="16"/>
          <w:szCs w:val="16"/>
        </w:rPr>
      </w:pPr>
      <w:r>
        <w:rPr>
          <w:rFonts w:asciiTheme="minorHAnsi" w:hAnsiTheme="minorHAnsi" w:cstheme="minorHAnsi"/>
          <w:sz w:val="16"/>
          <w:szCs w:val="16"/>
        </w:rPr>
        <w:t>Direction « Relations Ecoles-Monde du Travail »</w:t>
      </w:r>
    </w:p>
    <w:p>
      <w:pPr>
        <w:rPr>
          <w:rFonts w:asciiTheme="minorHAnsi" w:hAnsiTheme="minorHAnsi" w:cstheme="minorHAnsi"/>
          <w:sz w:val="16"/>
          <w:szCs w:val="16"/>
        </w:rPr>
      </w:pPr>
      <w:r>
        <w:rPr>
          <w:rFonts w:asciiTheme="minorHAnsi" w:hAnsiTheme="minorHAnsi" w:cstheme="minorHAnsi"/>
          <w:sz w:val="16"/>
          <w:szCs w:val="16"/>
        </w:rPr>
        <w:t>A l’attention de Madame Mélanie DE CLERFAYT</w:t>
      </w:r>
    </w:p>
    <w:p>
      <w:pPr>
        <w:rPr>
          <w:rFonts w:asciiTheme="minorHAnsi" w:hAnsiTheme="minorHAnsi" w:cstheme="minorHAnsi"/>
          <w:sz w:val="16"/>
          <w:szCs w:val="16"/>
        </w:rPr>
      </w:pPr>
      <w:r>
        <w:rPr>
          <w:rFonts w:asciiTheme="minorHAnsi" w:hAnsiTheme="minorHAnsi" w:cstheme="minorHAnsi"/>
          <w:sz w:val="16"/>
          <w:szCs w:val="16"/>
        </w:rPr>
        <w:t>Bureau 1F130</w:t>
      </w:r>
    </w:p>
    <w:p>
      <w:pPr>
        <w:rPr>
          <w:rFonts w:asciiTheme="minorHAnsi" w:hAnsiTheme="minorHAnsi" w:cstheme="minorHAnsi"/>
          <w:sz w:val="16"/>
          <w:szCs w:val="16"/>
        </w:rPr>
      </w:pPr>
      <w:r>
        <w:rPr>
          <w:rFonts w:asciiTheme="minorHAnsi" w:hAnsiTheme="minorHAnsi" w:cstheme="minorHAnsi"/>
          <w:sz w:val="16"/>
          <w:szCs w:val="16"/>
        </w:rPr>
        <w:t>Rue A. Lavallée, 1</w:t>
      </w:r>
    </w:p>
    <w:p>
      <w:pPr>
        <w:rPr>
          <w:rFonts w:asciiTheme="minorHAnsi" w:hAnsiTheme="minorHAnsi" w:cstheme="minorHAnsi"/>
          <w:sz w:val="16"/>
          <w:szCs w:val="16"/>
        </w:rPr>
      </w:pPr>
      <w:r>
        <w:rPr>
          <w:rFonts w:asciiTheme="minorHAnsi" w:hAnsiTheme="minorHAnsi" w:cstheme="minorHAnsi"/>
          <w:sz w:val="16"/>
          <w:szCs w:val="16"/>
        </w:rPr>
        <w:t>1080 – Bruxelles</w:t>
      </w:r>
    </w:p>
    <w:p>
      <w:pPr>
        <w:ind w:left="2880"/>
        <w:jc w:val="center"/>
        <w:rPr>
          <w:rFonts w:asciiTheme="minorHAnsi" w:hAnsiTheme="minorHAnsi" w:cstheme="minorHAnsi"/>
          <w:b/>
          <w:sz w:val="20"/>
          <w:szCs w:val="20"/>
        </w:rPr>
      </w:pPr>
    </w:p>
    <w:p>
      <w:pPr>
        <w:spacing w:before="240" w:after="240"/>
        <w:jc w:val="both"/>
        <w:rPr>
          <w:rFonts w:ascii="Calibri" w:hAnsi="Calibri" w:cs="Calibri"/>
          <w:sz w:val="22"/>
          <w:szCs w:val="22"/>
        </w:rPr>
      </w:pPr>
      <w:r>
        <w:rPr>
          <w:rFonts w:asciiTheme="minorHAnsi" w:hAnsiTheme="minorHAnsi" w:cstheme="minorHAnsi"/>
          <w:b/>
          <w:sz w:val="20"/>
          <w:szCs w:val="20"/>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8</w:t>
      </w:r>
    </w:p>
    <w:p>
      <w:pPr>
        <w:spacing w:before="240" w:after="240"/>
        <w:jc w:val="center"/>
        <w:rPr>
          <w:rFonts w:ascii="Calibri" w:hAnsi="Calibri" w:cs="Calibri"/>
          <w:b/>
          <w:sz w:val="36"/>
          <w:szCs w:val="36"/>
        </w:rPr>
      </w:pPr>
      <w:r>
        <w:rPr>
          <w:rFonts w:ascii="Calibri" w:hAnsi="Calibri" w:cs="Calibri"/>
          <w:b/>
          <w:sz w:val="36"/>
          <w:szCs w:val="36"/>
        </w:rPr>
        <w:t>Déclaration sur l’honneur pour le remboursement de frais de déplacement occasionnés lors d’une formation suivie en CTA</w:t>
      </w:r>
    </w:p>
    <w:p>
      <w:pPr>
        <w:spacing w:before="240" w:after="240"/>
        <w:jc w:val="center"/>
        <w:rPr>
          <w:rFonts w:ascii="Calibri" w:hAnsi="Calibri" w:cs="Calibri"/>
          <w:b/>
          <w:sz w:val="36"/>
          <w:szCs w:val="36"/>
        </w:rPr>
      </w:pPr>
      <w:r>
        <w:rPr>
          <w:rFonts w:ascii="Calibri" w:hAnsi="Calibri" w:cs="Calibri"/>
          <w:b/>
          <w:sz w:val="36"/>
          <w:szCs w:val="36"/>
        </w:rPr>
        <w:t>Déplacement en voiture</w:t>
      </w:r>
    </w:p>
    <w:p>
      <w:pPr>
        <w:rPr>
          <w:rFonts w:asciiTheme="minorHAnsi" w:hAnsiTheme="minorHAnsi" w:cstheme="minorHAnsi"/>
          <w:b/>
          <w:sz w:val="20"/>
          <w:szCs w:val="20"/>
        </w:rPr>
      </w:pPr>
      <w:r>
        <w:rPr>
          <w:rFonts w:asciiTheme="minorHAnsi" w:hAnsiTheme="minorHAnsi" w:cstheme="minorHAnsi"/>
          <w:b/>
          <w:sz w:val="20"/>
          <w:szCs w:val="20"/>
        </w:rPr>
        <w:br w:type="page"/>
      </w:r>
    </w:p>
    <w:p>
      <w:pPr>
        <w:rPr>
          <w:rFonts w:asciiTheme="minorHAnsi" w:hAnsiTheme="minorHAnsi" w:cstheme="minorHAnsi"/>
          <w:b/>
          <w:sz w:val="20"/>
          <w:szCs w:val="20"/>
        </w:rPr>
      </w:pPr>
      <w:r>
        <w:rPr>
          <w:rFonts w:asciiTheme="minorHAnsi" w:hAnsiTheme="minorHAnsi" w:cstheme="minorHAnsi"/>
          <w:noProof/>
          <w:sz w:val="20"/>
          <w:szCs w:val="20"/>
          <w:lang w:eastAsia="fr-BE"/>
        </w:rPr>
        <w:lastRenderedPageBreak/>
        <w:drawing>
          <wp:anchor distT="0" distB="0" distL="114300" distR="114300" simplePos="0" relativeHeight="251721728" behindDoc="0" locked="0" layoutInCell="1" allowOverlap="1">
            <wp:simplePos x="0" y="0"/>
            <wp:positionH relativeFrom="column">
              <wp:posOffset>0</wp:posOffset>
            </wp:positionH>
            <wp:positionV relativeFrom="page">
              <wp:posOffset>929166</wp:posOffset>
            </wp:positionV>
            <wp:extent cx="1133475" cy="1079500"/>
            <wp:effectExtent l="0" t="0" r="9525" b="6350"/>
            <wp:wrapNone/>
            <wp:docPr id="10" name="Image 71" descr="FWB_QUADRI_VE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WB_QUADRI_VERTI"/>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33475" cy="1079500"/>
                    </a:xfrm>
                    <a:prstGeom prst="rect">
                      <a:avLst/>
                    </a:prstGeom>
                    <a:noFill/>
                  </pic:spPr>
                </pic:pic>
              </a:graphicData>
            </a:graphic>
            <wp14:sizeRelH relativeFrom="page">
              <wp14:pctWidth>0</wp14:pctWidth>
            </wp14:sizeRelH>
            <wp14:sizeRelV relativeFrom="page">
              <wp14:pctHeight>0</wp14:pctHeight>
            </wp14:sizeRelV>
          </wp:anchor>
        </w:drawing>
      </w:r>
    </w:p>
    <w:p>
      <w:pPr>
        <w:ind w:left="2880"/>
        <w:jc w:val="center"/>
        <w:rPr>
          <w:rFonts w:asciiTheme="minorHAnsi" w:hAnsiTheme="minorHAnsi" w:cstheme="minorHAnsi"/>
          <w:b/>
          <w:sz w:val="20"/>
          <w:szCs w:val="20"/>
        </w:rPr>
      </w:pPr>
    </w:p>
    <w:p>
      <w:pPr>
        <w:pBdr>
          <w:top w:val="single" w:sz="4" w:space="1" w:color="auto"/>
          <w:left w:val="single" w:sz="4" w:space="4" w:color="auto"/>
          <w:bottom w:val="single" w:sz="4" w:space="1" w:color="auto"/>
          <w:right w:val="single" w:sz="4" w:space="4" w:color="auto"/>
        </w:pBdr>
        <w:ind w:left="2880"/>
        <w:jc w:val="center"/>
        <w:rPr>
          <w:rFonts w:asciiTheme="minorHAnsi" w:hAnsiTheme="minorHAnsi" w:cstheme="minorHAnsi"/>
          <w:b/>
          <w:caps/>
          <w:sz w:val="20"/>
          <w:szCs w:val="20"/>
        </w:rPr>
      </w:pPr>
      <w:r>
        <w:rPr>
          <w:rFonts w:asciiTheme="minorHAnsi" w:hAnsiTheme="minorHAnsi" w:cstheme="minorHAnsi"/>
          <w:b/>
          <w:sz w:val="20"/>
          <w:szCs w:val="20"/>
        </w:rPr>
        <w:t xml:space="preserve">DECLARATION </w:t>
      </w:r>
      <w:r>
        <w:rPr>
          <w:rFonts w:asciiTheme="minorHAnsi" w:hAnsiTheme="minorHAnsi" w:cstheme="minorHAnsi"/>
          <w:b/>
          <w:caps/>
          <w:sz w:val="20"/>
          <w:szCs w:val="20"/>
        </w:rPr>
        <w:t xml:space="preserve">sur l’honneur </w:t>
      </w:r>
      <w:r>
        <w:rPr>
          <w:rFonts w:asciiTheme="minorHAnsi" w:hAnsiTheme="minorHAnsi" w:cstheme="minorHAnsi"/>
          <w:b/>
          <w:sz w:val="20"/>
          <w:szCs w:val="20"/>
        </w:rPr>
        <w:t xml:space="preserve">POUR LE REMBOURSEMENT DE FRAIS DE DEPLACEMENT </w:t>
      </w:r>
      <w:r>
        <w:rPr>
          <w:rFonts w:asciiTheme="minorHAnsi" w:hAnsiTheme="minorHAnsi" w:cstheme="minorHAnsi"/>
          <w:b/>
          <w:caps/>
          <w:sz w:val="20"/>
          <w:szCs w:val="20"/>
        </w:rPr>
        <w:t>occasionnés</w:t>
      </w:r>
      <w:r>
        <w:rPr>
          <w:rFonts w:asciiTheme="minorHAnsi" w:hAnsiTheme="minorHAnsi" w:cstheme="minorHAnsi"/>
          <w:b/>
          <w:sz w:val="20"/>
          <w:szCs w:val="20"/>
        </w:rPr>
        <w:t xml:space="preserve"> </w:t>
      </w:r>
      <w:r>
        <w:rPr>
          <w:rFonts w:asciiTheme="minorHAnsi" w:hAnsiTheme="minorHAnsi" w:cstheme="minorHAnsi"/>
          <w:b/>
          <w:caps/>
          <w:sz w:val="20"/>
          <w:szCs w:val="20"/>
        </w:rPr>
        <w:t>lors d’une</w:t>
      </w:r>
      <w:r>
        <w:rPr>
          <w:rFonts w:asciiTheme="minorHAnsi" w:hAnsiTheme="minorHAnsi" w:cstheme="minorHAnsi"/>
          <w:b/>
          <w:sz w:val="20"/>
          <w:szCs w:val="20"/>
        </w:rPr>
        <w:t xml:space="preserve"> FORMATION SUIVIE EN CTA</w:t>
      </w:r>
    </w:p>
    <w:p>
      <w:pPr>
        <w:pBdr>
          <w:top w:val="single" w:sz="4" w:space="1" w:color="auto"/>
          <w:left w:val="single" w:sz="4" w:space="4" w:color="auto"/>
          <w:bottom w:val="single" w:sz="4" w:space="1" w:color="auto"/>
          <w:right w:val="single" w:sz="4" w:space="4" w:color="auto"/>
        </w:pBdr>
        <w:ind w:left="2880"/>
        <w:jc w:val="center"/>
        <w:rPr>
          <w:rFonts w:asciiTheme="minorHAnsi" w:hAnsiTheme="minorHAnsi" w:cstheme="minorHAnsi"/>
          <w:b/>
          <w:sz w:val="20"/>
          <w:szCs w:val="20"/>
        </w:rPr>
      </w:pPr>
      <w:r>
        <w:rPr>
          <w:rFonts w:asciiTheme="minorHAnsi" w:hAnsiTheme="minorHAnsi" w:cstheme="minorHAnsi"/>
          <w:b/>
          <w:sz w:val="20"/>
          <w:szCs w:val="20"/>
        </w:rPr>
        <w:t>Déplacement en voiture</w:t>
      </w:r>
    </w:p>
    <w:p>
      <w:pPr>
        <w:rPr>
          <w:rFonts w:asciiTheme="minorHAnsi" w:hAnsiTheme="minorHAnsi" w:cstheme="minorHAnsi"/>
          <w:sz w:val="20"/>
          <w:szCs w:val="20"/>
        </w:rPr>
      </w:pPr>
    </w:p>
    <w:p>
      <w:pPr>
        <w:rPr>
          <w:rFonts w:asciiTheme="minorHAnsi" w:hAnsiTheme="minorHAnsi" w:cstheme="minorHAnsi"/>
          <w:sz w:val="20"/>
          <w:szCs w:val="20"/>
        </w:rPr>
      </w:pPr>
    </w:p>
    <w:p>
      <w:pPr>
        <w:rPr>
          <w:rFonts w:asciiTheme="minorHAnsi" w:hAnsiTheme="minorHAnsi" w:cstheme="minorHAnsi"/>
          <w:sz w:val="20"/>
          <w:szCs w:val="20"/>
        </w:rPr>
      </w:pPr>
    </w:p>
    <w:p>
      <w:pPr>
        <w:spacing w:line="360" w:lineRule="auto"/>
        <w:rPr>
          <w:rFonts w:asciiTheme="minorHAnsi" w:hAnsiTheme="minorHAnsi" w:cstheme="minorHAnsi"/>
          <w:sz w:val="20"/>
          <w:szCs w:val="20"/>
        </w:rPr>
      </w:pPr>
      <w:r>
        <w:rPr>
          <w:rFonts w:asciiTheme="minorHAnsi" w:hAnsiTheme="minorHAnsi" w:cstheme="minorHAnsi"/>
          <w:sz w:val="20"/>
          <w:szCs w:val="20"/>
        </w:rPr>
        <w:t>Je soussigné(e),</w:t>
      </w:r>
    </w:p>
    <w:p>
      <w:pPr>
        <w:spacing w:line="360" w:lineRule="auto"/>
        <w:rPr>
          <w:rFonts w:asciiTheme="minorHAnsi" w:hAnsiTheme="minorHAnsi" w:cstheme="minorHAnsi"/>
          <w:sz w:val="20"/>
          <w:szCs w:val="20"/>
        </w:rPr>
      </w:pPr>
      <w:r>
        <w:rPr>
          <w:rFonts w:asciiTheme="minorHAnsi" w:hAnsiTheme="minorHAnsi" w:cstheme="minorHAnsi"/>
          <w:sz w:val="20"/>
          <w:szCs w:val="20"/>
        </w:rPr>
        <w:t>Nom, Prénom :</w:t>
      </w:r>
    </w:p>
    <w:p>
      <w:pPr>
        <w:spacing w:line="360" w:lineRule="auto"/>
        <w:rPr>
          <w:rFonts w:asciiTheme="minorHAnsi" w:hAnsiTheme="minorHAnsi" w:cstheme="minorHAnsi"/>
          <w:sz w:val="20"/>
          <w:szCs w:val="20"/>
        </w:rPr>
      </w:pPr>
      <w:r>
        <w:rPr>
          <w:rFonts w:asciiTheme="minorHAnsi" w:hAnsiTheme="minorHAnsi" w:cstheme="minorHAnsi"/>
          <w:sz w:val="20"/>
          <w:szCs w:val="20"/>
        </w:rPr>
        <w:t>Numéro de registre national :</w:t>
      </w:r>
    </w:p>
    <w:p>
      <w:pPr>
        <w:spacing w:line="360" w:lineRule="auto"/>
        <w:rPr>
          <w:rFonts w:asciiTheme="minorHAnsi" w:hAnsiTheme="minorHAnsi" w:cstheme="minorHAnsi"/>
          <w:sz w:val="20"/>
          <w:szCs w:val="20"/>
        </w:rPr>
      </w:pPr>
      <w:r>
        <w:rPr>
          <w:rFonts w:asciiTheme="minorHAnsi" w:hAnsiTheme="minorHAnsi" w:cstheme="minorHAnsi"/>
          <w:sz w:val="20"/>
          <w:szCs w:val="20"/>
        </w:rPr>
        <w:t>Ecole d’origine :</w:t>
      </w:r>
    </w:p>
    <w:p>
      <w:pPr>
        <w:spacing w:line="360" w:lineRule="auto"/>
        <w:rPr>
          <w:rFonts w:asciiTheme="minorHAnsi" w:hAnsiTheme="minorHAnsi" w:cstheme="minorHAnsi"/>
          <w:sz w:val="20"/>
          <w:szCs w:val="20"/>
        </w:rPr>
      </w:pPr>
      <w:r>
        <w:rPr>
          <w:rFonts w:asciiTheme="minorHAnsi" w:hAnsiTheme="minorHAnsi" w:cstheme="minorHAnsi"/>
          <w:sz w:val="20"/>
          <w:szCs w:val="20"/>
        </w:rPr>
        <w:t>Adresse de l’école :</w:t>
      </w:r>
    </w:p>
    <w:p>
      <w:pPr>
        <w:spacing w:line="360" w:lineRule="auto"/>
        <w:rPr>
          <w:rFonts w:asciiTheme="minorHAnsi" w:hAnsiTheme="minorHAnsi" w:cstheme="minorHAnsi"/>
          <w:sz w:val="20"/>
          <w:szCs w:val="20"/>
        </w:rPr>
      </w:pPr>
      <w:r>
        <w:rPr>
          <w:rFonts w:asciiTheme="minorHAnsi" w:hAnsiTheme="minorHAnsi" w:cstheme="minorHAnsi"/>
          <w:sz w:val="20"/>
          <w:szCs w:val="20"/>
        </w:rPr>
        <w:t>Coordonnées bancaires du déclarant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IBAN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BIC :</w:t>
      </w:r>
    </w:p>
    <w:p>
      <w:pPr>
        <w:spacing w:line="360" w:lineRule="auto"/>
        <w:rPr>
          <w:rFonts w:asciiTheme="minorHAnsi" w:hAnsiTheme="minorHAnsi" w:cstheme="minorHAnsi"/>
          <w:sz w:val="20"/>
          <w:szCs w:val="20"/>
        </w:rPr>
      </w:pPr>
      <w:r>
        <w:rPr>
          <w:rFonts w:asciiTheme="minorHAnsi" w:hAnsiTheme="minorHAnsi" w:cstheme="minorHAnsi"/>
          <w:sz w:val="20"/>
          <w:szCs w:val="20"/>
        </w:rPr>
        <w:tab/>
        <w:t>Nom titulaire compte :</w:t>
      </w:r>
    </w:p>
    <w:p>
      <w:pPr>
        <w:spacing w:line="360" w:lineRule="auto"/>
        <w:rPr>
          <w:rFonts w:asciiTheme="minorHAnsi" w:hAnsiTheme="minorHAnsi" w:cstheme="minorHAnsi"/>
          <w:sz w:val="20"/>
          <w:szCs w:val="20"/>
        </w:rPr>
      </w:pPr>
      <w:r>
        <w:rPr>
          <w:rFonts w:asciiTheme="minorHAnsi" w:hAnsiTheme="minorHAnsi" w:cstheme="minorHAnsi"/>
          <w:sz w:val="20"/>
          <w:szCs w:val="20"/>
        </w:rPr>
        <w:tab/>
        <w:t>Adresse complète du titulaire compte :</w:t>
      </w:r>
    </w:p>
    <w:p>
      <w:pPr>
        <w:spacing w:before="360" w:after="120"/>
        <w:rPr>
          <w:rFonts w:asciiTheme="minorHAnsi" w:hAnsiTheme="minorHAnsi" w:cstheme="minorHAnsi"/>
          <w:sz w:val="20"/>
          <w:szCs w:val="20"/>
        </w:rPr>
      </w:pPr>
      <w:r>
        <w:rPr>
          <w:rFonts w:asciiTheme="minorHAnsi" w:hAnsiTheme="minorHAnsi" w:cstheme="minorHAnsi"/>
          <w:sz w:val="20"/>
          <w:szCs w:val="20"/>
        </w:rPr>
        <w:t>Déclare par la présente avoir parcouru les kilomètres suivants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9"/>
        <w:gridCol w:w="2267"/>
        <w:gridCol w:w="2276"/>
        <w:gridCol w:w="2260"/>
      </w:tblGrid>
      <w:tr>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Date</w:t>
            </w: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Nombre km A/R</w:t>
            </w: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Index kilométrique</w:t>
            </w: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Total</w:t>
            </w:r>
          </w:p>
        </w:tc>
      </w:tr>
      <w:tr>
        <w:tc>
          <w:tcPr>
            <w:tcW w:w="2303" w:type="dxa"/>
          </w:tcPr>
          <w:p>
            <w:pPr>
              <w:rPr>
                <w:rFonts w:asciiTheme="minorHAnsi" w:hAnsiTheme="minorHAnsi" w:cstheme="minorHAnsi"/>
                <w:sz w:val="20"/>
                <w:szCs w:val="20"/>
              </w:rPr>
            </w:pPr>
          </w:p>
        </w:tc>
        <w:tc>
          <w:tcPr>
            <w:tcW w:w="2303" w:type="dxa"/>
          </w:tcPr>
          <w:p>
            <w:pPr>
              <w:rPr>
                <w:rFonts w:asciiTheme="minorHAnsi" w:hAnsiTheme="minorHAnsi" w:cstheme="minorHAnsi"/>
                <w:sz w:val="20"/>
                <w:szCs w:val="20"/>
              </w:rPr>
            </w:pP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0,3241</w:t>
            </w:r>
          </w:p>
        </w:tc>
        <w:tc>
          <w:tcPr>
            <w:tcW w:w="2303" w:type="dxa"/>
          </w:tcPr>
          <w:p>
            <w:pPr>
              <w:rPr>
                <w:rFonts w:asciiTheme="minorHAnsi" w:hAnsiTheme="minorHAnsi" w:cstheme="minorHAnsi"/>
                <w:sz w:val="20"/>
                <w:szCs w:val="20"/>
              </w:rPr>
            </w:pPr>
          </w:p>
        </w:tc>
      </w:tr>
      <w:tr>
        <w:tc>
          <w:tcPr>
            <w:tcW w:w="2303" w:type="dxa"/>
          </w:tcPr>
          <w:p>
            <w:pPr>
              <w:rPr>
                <w:rFonts w:asciiTheme="minorHAnsi" w:hAnsiTheme="minorHAnsi" w:cstheme="minorHAnsi"/>
                <w:sz w:val="20"/>
                <w:szCs w:val="20"/>
              </w:rPr>
            </w:pPr>
          </w:p>
        </w:tc>
        <w:tc>
          <w:tcPr>
            <w:tcW w:w="2303" w:type="dxa"/>
          </w:tcPr>
          <w:p>
            <w:pPr>
              <w:rPr>
                <w:rFonts w:asciiTheme="minorHAnsi" w:hAnsiTheme="minorHAnsi" w:cstheme="minorHAnsi"/>
                <w:sz w:val="20"/>
                <w:szCs w:val="20"/>
              </w:rPr>
            </w:pP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0,3241</w:t>
            </w:r>
          </w:p>
        </w:tc>
        <w:tc>
          <w:tcPr>
            <w:tcW w:w="2303" w:type="dxa"/>
          </w:tcPr>
          <w:p>
            <w:pPr>
              <w:rPr>
                <w:rFonts w:asciiTheme="minorHAnsi" w:hAnsiTheme="minorHAnsi" w:cstheme="minorHAnsi"/>
                <w:sz w:val="20"/>
                <w:szCs w:val="20"/>
              </w:rPr>
            </w:pPr>
          </w:p>
        </w:tc>
      </w:tr>
      <w:tr>
        <w:tc>
          <w:tcPr>
            <w:tcW w:w="2303" w:type="dxa"/>
          </w:tcPr>
          <w:p>
            <w:pPr>
              <w:rPr>
                <w:rFonts w:asciiTheme="minorHAnsi" w:hAnsiTheme="minorHAnsi" w:cstheme="minorHAnsi"/>
                <w:sz w:val="20"/>
                <w:szCs w:val="20"/>
              </w:rPr>
            </w:pPr>
          </w:p>
        </w:tc>
        <w:tc>
          <w:tcPr>
            <w:tcW w:w="2303" w:type="dxa"/>
          </w:tcPr>
          <w:p>
            <w:pPr>
              <w:rPr>
                <w:rFonts w:asciiTheme="minorHAnsi" w:hAnsiTheme="minorHAnsi" w:cstheme="minorHAnsi"/>
                <w:sz w:val="20"/>
                <w:szCs w:val="20"/>
              </w:rPr>
            </w:pP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0,3241</w:t>
            </w:r>
          </w:p>
        </w:tc>
        <w:tc>
          <w:tcPr>
            <w:tcW w:w="2303" w:type="dxa"/>
          </w:tcPr>
          <w:p>
            <w:pPr>
              <w:rPr>
                <w:rFonts w:asciiTheme="minorHAnsi" w:hAnsiTheme="minorHAnsi" w:cstheme="minorHAnsi"/>
                <w:sz w:val="20"/>
                <w:szCs w:val="20"/>
              </w:rPr>
            </w:pPr>
          </w:p>
        </w:tc>
      </w:tr>
      <w:tr>
        <w:tc>
          <w:tcPr>
            <w:tcW w:w="2303" w:type="dxa"/>
          </w:tcPr>
          <w:p>
            <w:pPr>
              <w:rPr>
                <w:rFonts w:asciiTheme="minorHAnsi" w:hAnsiTheme="minorHAnsi" w:cstheme="minorHAnsi"/>
                <w:sz w:val="20"/>
                <w:szCs w:val="20"/>
              </w:rPr>
            </w:pPr>
          </w:p>
        </w:tc>
        <w:tc>
          <w:tcPr>
            <w:tcW w:w="2303" w:type="dxa"/>
          </w:tcPr>
          <w:p>
            <w:pPr>
              <w:rPr>
                <w:rFonts w:asciiTheme="minorHAnsi" w:hAnsiTheme="minorHAnsi" w:cstheme="minorHAnsi"/>
                <w:sz w:val="20"/>
                <w:szCs w:val="20"/>
              </w:rPr>
            </w:pPr>
          </w:p>
        </w:tc>
        <w:tc>
          <w:tcPr>
            <w:tcW w:w="2303" w:type="dxa"/>
          </w:tcPr>
          <w:p>
            <w:pPr>
              <w:jc w:val="center"/>
              <w:rPr>
                <w:rFonts w:asciiTheme="minorHAnsi" w:hAnsiTheme="minorHAnsi" w:cstheme="minorHAnsi"/>
                <w:sz w:val="20"/>
                <w:szCs w:val="20"/>
              </w:rPr>
            </w:pPr>
            <w:r>
              <w:rPr>
                <w:rFonts w:asciiTheme="minorHAnsi" w:hAnsiTheme="minorHAnsi" w:cstheme="minorHAnsi"/>
                <w:sz w:val="20"/>
                <w:szCs w:val="20"/>
              </w:rPr>
              <w:t>0,3241</w:t>
            </w:r>
          </w:p>
        </w:tc>
        <w:tc>
          <w:tcPr>
            <w:tcW w:w="2303" w:type="dxa"/>
          </w:tcPr>
          <w:p>
            <w:pPr>
              <w:rPr>
                <w:rFonts w:asciiTheme="minorHAnsi" w:hAnsiTheme="minorHAnsi" w:cstheme="minorHAnsi"/>
                <w:sz w:val="20"/>
                <w:szCs w:val="20"/>
              </w:rPr>
            </w:pPr>
          </w:p>
        </w:tc>
      </w:tr>
      <w:tr>
        <w:tc>
          <w:tcPr>
            <w:tcW w:w="6909" w:type="dxa"/>
            <w:gridSpan w:val="3"/>
          </w:tcPr>
          <w:p>
            <w:pPr>
              <w:jc w:val="center"/>
              <w:rPr>
                <w:rFonts w:asciiTheme="minorHAnsi" w:hAnsiTheme="minorHAnsi" w:cstheme="minorHAnsi"/>
                <w:b/>
                <w:sz w:val="20"/>
                <w:szCs w:val="20"/>
              </w:rPr>
            </w:pPr>
            <w:r>
              <w:rPr>
                <w:rFonts w:asciiTheme="minorHAnsi" w:hAnsiTheme="minorHAnsi" w:cstheme="minorHAnsi"/>
                <w:b/>
                <w:sz w:val="20"/>
                <w:szCs w:val="20"/>
              </w:rPr>
              <w:t>TOTAL GLOBAL</w:t>
            </w:r>
          </w:p>
        </w:tc>
        <w:tc>
          <w:tcPr>
            <w:tcW w:w="2303" w:type="dxa"/>
          </w:tcPr>
          <w:p>
            <w:pPr>
              <w:rPr>
                <w:rFonts w:asciiTheme="minorHAnsi" w:hAnsiTheme="minorHAnsi" w:cstheme="minorHAnsi"/>
                <w:b/>
                <w:sz w:val="20"/>
                <w:szCs w:val="20"/>
              </w:rPr>
            </w:pPr>
          </w:p>
        </w:tc>
      </w:tr>
    </w:tbl>
    <w:p>
      <w:pPr>
        <w:spacing w:before="240" w:line="480" w:lineRule="auto"/>
        <w:rPr>
          <w:rFonts w:asciiTheme="minorHAnsi" w:hAnsiTheme="minorHAnsi" w:cstheme="minorHAnsi"/>
          <w:sz w:val="20"/>
          <w:szCs w:val="20"/>
        </w:rPr>
      </w:pPr>
      <w:r>
        <w:rPr>
          <w:rFonts w:asciiTheme="minorHAnsi" w:hAnsiTheme="minorHAnsi" w:cstheme="minorHAnsi"/>
          <w:sz w:val="20"/>
          <w:szCs w:val="20"/>
        </w:rPr>
        <w:t xml:space="preserve">Le montant total des frais à rembourser s’élève à (écrire en toutes lettres) : </w:t>
      </w:r>
    </w:p>
    <w:p>
      <w:pPr>
        <w:rPr>
          <w:rFonts w:asciiTheme="minorHAnsi" w:hAnsiTheme="minorHAnsi" w:cstheme="minorHAnsi"/>
          <w:sz w:val="20"/>
          <w:szCs w:val="20"/>
        </w:rPr>
      </w:pPr>
      <w:r>
        <w:rPr>
          <w:rFonts w:asciiTheme="minorHAnsi" w:hAnsiTheme="minorHAnsi" w:cstheme="minorHAnsi"/>
          <w:sz w:val="20"/>
          <w:szCs w:val="20"/>
        </w:rPr>
        <w:t>Dans le cadre de la formation (intitulé) :</w:t>
      </w:r>
    </w:p>
    <w:p>
      <w:pPr>
        <w:rPr>
          <w:rFonts w:asciiTheme="minorHAnsi" w:hAnsiTheme="minorHAnsi" w:cstheme="minorHAnsi"/>
          <w:sz w:val="20"/>
          <w:szCs w:val="20"/>
        </w:rPr>
      </w:pPr>
    </w:p>
    <w:p>
      <w:pPr>
        <w:rPr>
          <w:rFonts w:asciiTheme="minorHAnsi" w:hAnsiTheme="minorHAnsi" w:cstheme="minorHAnsi"/>
          <w:sz w:val="20"/>
          <w:szCs w:val="20"/>
        </w:rPr>
      </w:pPr>
      <w:r>
        <w:rPr>
          <w:rFonts w:asciiTheme="minorHAnsi" w:hAnsiTheme="minorHAnsi" w:cstheme="minorHAnsi"/>
          <w:sz w:val="20"/>
          <w:szCs w:val="20"/>
        </w:rPr>
        <w:t>Qui a eu lieu du                              au</w:t>
      </w:r>
    </w:p>
    <w:p>
      <w:pPr>
        <w:rPr>
          <w:rFonts w:asciiTheme="minorHAnsi" w:hAnsiTheme="minorHAnsi" w:cstheme="minorHAnsi"/>
          <w:sz w:val="20"/>
          <w:szCs w:val="20"/>
        </w:rPr>
      </w:pPr>
    </w:p>
    <w:p>
      <w:pPr>
        <w:rPr>
          <w:rFonts w:asciiTheme="minorHAnsi" w:hAnsiTheme="minorHAnsi" w:cstheme="minorHAnsi"/>
          <w:sz w:val="20"/>
          <w:szCs w:val="20"/>
        </w:rPr>
      </w:pPr>
      <w:r>
        <w:rPr>
          <w:rFonts w:asciiTheme="minorHAnsi" w:hAnsiTheme="minorHAnsi" w:cstheme="minorHAnsi"/>
          <w:sz w:val="20"/>
          <w:szCs w:val="20"/>
        </w:rPr>
        <w:t>Dans le Centre de Technologies Avancées (intitulé) :</w:t>
      </w:r>
    </w:p>
    <w:p>
      <w:pPr>
        <w:rPr>
          <w:rFonts w:asciiTheme="minorHAnsi" w:hAnsiTheme="minorHAnsi" w:cstheme="minorHAnsi"/>
          <w:sz w:val="20"/>
          <w:szCs w:val="20"/>
        </w:rPr>
      </w:pPr>
    </w:p>
    <w:p>
      <w:pPr>
        <w:rPr>
          <w:rFonts w:asciiTheme="minorHAnsi" w:hAnsiTheme="minorHAnsi" w:cstheme="minorHAnsi"/>
          <w:b/>
          <w:sz w:val="20"/>
          <w:szCs w:val="20"/>
        </w:rPr>
      </w:pPr>
      <w:r>
        <w:rPr>
          <w:rFonts w:asciiTheme="minorHAnsi" w:hAnsiTheme="minorHAnsi" w:cstheme="minorHAnsi"/>
          <w:b/>
          <w:sz w:val="20"/>
          <w:szCs w:val="20"/>
        </w:rPr>
        <w:t>J’affirme sur l’honneur que la présente déclaration est sincère et complète.</w:t>
      </w:r>
    </w:p>
    <w:p>
      <w:pPr>
        <w:rPr>
          <w:rFonts w:asciiTheme="minorHAnsi" w:hAnsiTheme="minorHAnsi" w:cstheme="minorHAnsi"/>
          <w:sz w:val="20"/>
          <w:szCs w:val="20"/>
        </w:rPr>
      </w:pPr>
      <w:r>
        <w:rPr>
          <w:rFonts w:asciiTheme="minorHAnsi" w:hAnsiTheme="minorHAnsi" w:cstheme="minorHAnsi"/>
          <w:b/>
          <w:noProof/>
          <w:sz w:val="20"/>
          <w:szCs w:val="20"/>
          <w:u w:val="single"/>
          <w:lang w:eastAsia="fr-BE"/>
        </w:rPr>
        <mc:AlternateContent>
          <mc:Choice Requires="wps">
            <w:drawing>
              <wp:anchor distT="0" distB="0" distL="114300" distR="114300" simplePos="0" relativeHeight="251649024" behindDoc="0" locked="0" layoutInCell="1" allowOverlap="1">
                <wp:simplePos x="0" y="0"/>
                <wp:positionH relativeFrom="column">
                  <wp:posOffset>3542551</wp:posOffset>
                </wp:positionH>
                <wp:positionV relativeFrom="paragraph">
                  <wp:posOffset>157366</wp:posOffset>
                </wp:positionV>
                <wp:extent cx="1962150" cy="1742943"/>
                <wp:effectExtent l="0" t="0" r="19050" b="10160"/>
                <wp:wrapNone/>
                <wp:docPr id="96"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2150" cy="1742943"/>
                        </a:xfrm>
                        <a:prstGeom prst="rect">
                          <a:avLst/>
                        </a:prstGeom>
                        <a:solidFill>
                          <a:srgbClr val="FFFFFF"/>
                        </a:solidFill>
                        <a:ln w="9525">
                          <a:solidFill>
                            <a:srgbClr val="000000"/>
                          </a:solidFill>
                          <a:miter lim="800000"/>
                          <a:headEnd/>
                          <a:tailEnd/>
                        </a:ln>
                      </wps:spPr>
                      <wps:txbx>
                        <w:txbxContent>
                          <w:p>
                            <w:pPr>
                              <w:jc w:val="center"/>
                              <w:rPr>
                                <w:rFonts w:ascii="Calibri" w:hAnsi="Calibri" w:cs="Calibri"/>
                                <w:sz w:val="20"/>
                                <w:szCs w:val="20"/>
                              </w:rPr>
                            </w:pPr>
                            <w:r>
                              <w:rPr>
                                <w:rFonts w:ascii="Calibri" w:hAnsi="Calibri" w:cs="Calibri"/>
                                <w:b/>
                                <w:sz w:val="22"/>
                                <w:szCs w:val="22"/>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(signature + cachet)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 o:spid="_x0000_s1027" type="#_x0000_t202" style="position:absolute;margin-left:278.95pt;margin-top:12.4pt;width:154.5pt;height:137.2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WHJLQIAAFoEAAAOAAAAZHJzL2Uyb0RvYy54bWysVNtu2zAMfR+wfxD0vjj2nLQx4hRdugwD&#10;ugvQ7gNkWbaFyaImKbGzrx8lp2l2exnmB4EUqUPykPT6ZuwVOQjrJOiSprM5JUJzqKVuS/rlcffq&#10;mhLnma6ZAi1KehSO3mxevlgPphAZdKBqYQmCaFcMpqSd96ZIEsc70TM3AyM0GhuwPfOo2japLRsQ&#10;vVdJNp8vkwFsbSxw4Rze3k1Guon4TSO4/9Q0TniiSoq5+XjaeFbhTDZrVrSWmU7yUxrsH7LomdQY&#10;9Ax1xzwjeyt/g+olt+Cg8TMOfQJNI7mINWA16fyXah46ZkSsBclx5kyT+3+w/OPhsyWyLulqSYlm&#10;PfboUYyevIGRXOWBn8G4At0eDDr6Ee+xz7FWZ+6Bf3VEw7ZjuhW31sLQCVZjfml4mVw8nXBcAKmG&#10;D1BjHLb3EIHGxvaBPKSDIDr26XjuTciFh5CrZZYu0MTRll7l2Sp/HWOw4um5sc6/E9CTIJTUYvMj&#10;PDvcOx/SYcWTS4jmQMl6J5WKim2rrbLkwHBQdvE7of/kpjQZkKpFtpgY+CvEPH5/guilx4lXsi/p&#10;9dmJFYG3t7qO8+iZVJOMKSt9IjJwN7Hox2qMPYssB5IrqI/IrIVpwHEhUejAfqdkwOEuqfu2Z1ZQ&#10;ot5r7M4qzfOwDVHJF1cZKvbSUl1amOYIVVJPySRu/bRBe2Nl22GkaR403GJHGxm5fs7qlD4OcGzB&#10;adnChlzq0ev5l7D5AQAA//8DAFBLAwQUAAYACAAAACEAg+xj+t8AAAAKAQAADwAAAGRycy9kb3du&#10;cmV2LnhtbEyPy07DMBBF90j8gzVIbBB16CNNQpwKIYHoDgqCrRtPk4h4HGw3DX/PsILl3Dm6j3Iz&#10;2V6M6EPnSMHNLAGBVDvTUaPg7fXhOgMRoiaje0eo4BsDbKrzs1IXxp3oBcddbASbUCi0gjbGoZAy&#10;1C1aHWZuQOLfwXmrI5++kcbrE5vbXs6TJJVWd8QJrR7wvsX6c3e0CrLl0/gRtovn9zo99Hm8Wo+P&#10;X16py4vp7hZExCn+wfBbn6tDxZ327kgmiF7BarXOGVUwX/IEBrI0ZWHPQp4vQFal/D+h+gEAAP//&#10;AwBQSwECLQAUAAYACAAAACEAtoM4kv4AAADhAQAAEwAAAAAAAAAAAAAAAAAAAAAAW0NvbnRlbnRf&#10;VHlwZXNdLnhtbFBLAQItABQABgAIAAAAIQA4/SH/1gAAAJQBAAALAAAAAAAAAAAAAAAAAC8BAABf&#10;cmVscy8ucmVsc1BLAQItABQABgAIAAAAIQBowWHJLQIAAFoEAAAOAAAAAAAAAAAAAAAAAC4CAABk&#10;cnMvZTJvRG9jLnhtbFBLAQItABQABgAIAAAAIQCD7GP63wAAAAoBAAAPAAAAAAAAAAAAAAAAAIcE&#10;AABkcnMvZG93bnJldi54bWxQSwUGAAAAAAQABADzAAAAkwUAAAAA&#10;">
                <v:textbox>
                  <w:txbxContent>
                    <w:p>
                      <w:pPr>
                        <w:jc w:val="center"/>
                        <w:rPr>
                          <w:rFonts w:ascii="Calibri" w:hAnsi="Calibri" w:cs="Calibri"/>
                          <w:sz w:val="20"/>
                          <w:szCs w:val="20"/>
                        </w:rPr>
                      </w:pPr>
                      <w:r>
                        <w:rPr>
                          <w:rFonts w:ascii="Calibri" w:hAnsi="Calibri" w:cs="Calibri"/>
                          <w:b/>
                          <w:sz w:val="22"/>
                          <w:szCs w:val="22"/>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w:t>
                      </w:r>
                      <w:proofErr w:type="gramStart"/>
                      <w:r>
                        <w:rPr>
                          <w:rFonts w:ascii="Calibri" w:hAnsi="Calibri" w:cs="Calibri"/>
                          <w:i/>
                          <w:sz w:val="20"/>
                          <w:szCs w:val="20"/>
                        </w:rPr>
                        <w:t>signature</w:t>
                      </w:r>
                      <w:proofErr w:type="gramEnd"/>
                      <w:r>
                        <w:rPr>
                          <w:rFonts w:ascii="Calibri" w:hAnsi="Calibri" w:cs="Calibri"/>
                          <w:i/>
                          <w:sz w:val="20"/>
                          <w:szCs w:val="20"/>
                        </w:rPr>
                        <w:t xml:space="preserve"> + cachet)</w:t>
                      </w:r>
                    </w:p>
                  </w:txbxContent>
                </v:textbox>
              </v:shape>
            </w:pict>
          </mc:Fallback>
        </mc:AlternateContent>
      </w:r>
    </w:p>
    <w:p>
      <w:pPr>
        <w:rPr>
          <w:rFonts w:asciiTheme="minorHAnsi" w:hAnsiTheme="minorHAnsi" w:cstheme="minorHAnsi"/>
          <w:sz w:val="20"/>
          <w:szCs w:val="20"/>
        </w:rPr>
      </w:pPr>
      <w:r>
        <w:rPr>
          <w:rFonts w:asciiTheme="minorHAnsi" w:hAnsiTheme="minorHAnsi" w:cstheme="minorHAnsi"/>
          <w:sz w:val="20"/>
          <w:szCs w:val="20"/>
        </w:rPr>
        <w:t>Fait à                                                                           , le</w:t>
      </w:r>
    </w:p>
    <w:p>
      <w:pPr>
        <w:rPr>
          <w:rFonts w:asciiTheme="minorHAnsi" w:hAnsiTheme="minorHAnsi" w:cstheme="minorHAnsi"/>
          <w:sz w:val="20"/>
          <w:szCs w:val="20"/>
        </w:rPr>
      </w:pPr>
    </w:p>
    <w:p>
      <w:pPr>
        <w:rPr>
          <w:rFonts w:asciiTheme="minorHAnsi" w:hAnsiTheme="minorHAnsi" w:cstheme="minorHAnsi"/>
          <w:sz w:val="20"/>
          <w:szCs w:val="20"/>
        </w:rPr>
      </w:pPr>
      <w:r>
        <w:rPr>
          <w:rFonts w:asciiTheme="minorHAnsi" w:hAnsiTheme="minorHAnsi" w:cstheme="minorHAnsi"/>
          <w:sz w:val="20"/>
          <w:szCs w:val="20"/>
        </w:rPr>
        <w:t>Signature du déclarant :</w:t>
      </w:r>
    </w:p>
    <w:p>
      <w:pPr>
        <w:rPr>
          <w:rFonts w:asciiTheme="minorHAnsi" w:hAnsiTheme="minorHAnsi" w:cstheme="minorHAnsi"/>
          <w:sz w:val="20"/>
          <w:szCs w:val="20"/>
        </w:rPr>
      </w:pPr>
    </w:p>
    <w:p>
      <w:pPr>
        <w:rPr>
          <w:rFonts w:asciiTheme="minorHAnsi" w:hAnsiTheme="minorHAnsi" w:cstheme="minorHAnsi"/>
          <w:b/>
          <w:sz w:val="20"/>
          <w:szCs w:val="20"/>
          <w:u w:val="single"/>
        </w:rPr>
      </w:pPr>
    </w:p>
    <w:p>
      <w:pPr>
        <w:rPr>
          <w:rFonts w:asciiTheme="minorHAnsi" w:hAnsiTheme="minorHAnsi" w:cstheme="minorHAnsi"/>
          <w:b/>
          <w:sz w:val="16"/>
          <w:szCs w:val="16"/>
          <w:u w:val="single"/>
        </w:rPr>
      </w:pPr>
      <w:r>
        <w:rPr>
          <w:rFonts w:asciiTheme="minorHAnsi" w:hAnsiTheme="minorHAnsi" w:cstheme="minorHAnsi"/>
          <w:b/>
          <w:sz w:val="16"/>
          <w:szCs w:val="16"/>
          <w:u w:val="single"/>
        </w:rPr>
        <w:t>A transmettre à :</w:t>
      </w:r>
    </w:p>
    <w:p>
      <w:pPr>
        <w:rPr>
          <w:rFonts w:asciiTheme="minorHAnsi" w:hAnsiTheme="minorHAnsi" w:cstheme="minorHAnsi"/>
          <w:sz w:val="16"/>
          <w:szCs w:val="16"/>
        </w:rPr>
      </w:pPr>
      <w:r>
        <w:rPr>
          <w:rFonts w:asciiTheme="minorHAnsi" w:hAnsiTheme="minorHAnsi" w:cstheme="minorHAnsi"/>
          <w:sz w:val="16"/>
          <w:szCs w:val="16"/>
        </w:rPr>
        <w:t>Direction générale de l’Enseignement obligatoire</w:t>
      </w:r>
    </w:p>
    <w:p>
      <w:pPr>
        <w:rPr>
          <w:rFonts w:asciiTheme="minorHAnsi" w:hAnsiTheme="minorHAnsi" w:cstheme="minorHAnsi"/>
          <w:sz w:val="16"/>
          <w:szCs w:val="16"/>
        </w:rPr>
      </w:pPr>
      <w:r>
        <w:rPr>
          <w:rFonts w:asciiTheme="minorHAnsi" w:hAnsiTheme="minorHAnsi" w:cstheme="minorHAnsi"/>
          <w:sz w:val="16"/>
          <w:szCs w:val="16"/>
        </w:rPr>
        <w:t>Direction « Relations Ecoles-Monde du Travail »</w:t>
      </w:r>
    </w:p>
    <w:p>
      <w:pPr>
        <w:rPr>
          <w:rFonts w:asciiTheme="minorHAnsi" w:hAnsiTheme="minorHAnsi" w:cstheme="minorHAnsi"/>
          <w:sz w:val="16"/>
          <w:szCs w:val="16"/>
        </w:rPr>
      </w:pPr>
      <w:r>
        <w:rPr>
          <w:rFonts w:asciiTheme="minorHAnsi" w:hAnsiTheme="minorHAnsi" w:cstheme="minorHAnsi"/>
          <w:sz w:val="16"/>
          <w:szCs w:val="16"/>
        </w:rPr>
        <w:t>A l’attention de Madame Mélanie DE CLERFAYT</w:t>
      </w:r>
    </w:p>
    <w:p>
      <w:pPr>
        <w:rPr>
          <w:rFonts w:asciiTheme="minorHAnsi" w:hAnsiTheme="minorHAnsi" w:cstheme="minorHAnsi"/>
          <w:sz w:val="16"/>
          <w:szCs w:val="16"/>
        </w:rPr>
      </w:pPr>
      <w:r>
        <w:rPr>
          <w:rFonts w:asciiTheme="minorHAnsi" w:hAnsiTheme="minorHAnsi" w:cstheme="minorHAnsi"/>
          <w:sz w:val="16"/>
          <w:szCs w:val="16"/>
        </w:rPr>
        <w:t>Bureau 1F130</w:t>
      </w:r>
    </w:p>
    <w:p>
      <w:pPr>
        <w:rPr>
          <w:rFonts w:asciiTheme="minorHAnsi" w:hAnsiTheme="minorHAnsi" w:cstheme="minorHAnsi"/>
          <w:sz w:val="16"/>
          <w:szCs w:val="16"/>
        </w:rPr>
      </w:pPr>
      <w:r>
        <w:rPr>
          <w:rFonts w:asciiTheme="minorHAnsi" w:hAnsiTheme="minorHAnsi" w:cstheme="minorHAnsi"/>
          <w:sz w:val="16"/>
          <w:szCs w:val="16"/>
        </w:rPr>
        <w:t>Rue A. Lavallée, 1</w:t>
      </w:r>
    </w:p>
    <w:p>
      <w:pPr>
        <w:rPr>
          <w:rFonts w:asciiTheme="minorHAnsi" w:hAnsiTheme="minorHAnsi" w:cstheme="minorHAnsi"/>
          <w:sz w:val="16"/>
          <w:szCs w:val="16"/>
        </w:rPr>
      </w:pPr>
      <w:r>
        <w:rPr>
          <w:rFonts w:asciiTheme="minorHAnsi" w:hAnsiTheme="minorHAnsi" w:cstheme="minorHAnsi"/>
          <w:sz w:val="16"/>
          <w:szCs w:val="16"/>
        </w:rPr>
        <w:t>1080 – Bruxelles</w:t>
      </w:r>
    </w:p>
    <w:p>
      <w:pPr>
        <w:spacing w:before="240" w:after="240"/>
        <w:jc w:val="both"/>
        <w:rPr>
          <w:rFonts w:ascii="Calibri" w:hAnsi="Calibri" w:cs="Calibri"/>
          <w:sz w:val="22"/>
          <w:szCs w:val="22"/>
        </w:rPr>
      </w:pPr>
      <w:r>
        <w:rPr>
          <w:rFonts w:asciiTheme="minorHAnsi" w:hAnsiTheme="minorHAnsi" w:cstheme="minorHAnsi"/>
          <w:sz w:val="20"/>
          <w:szCs w:val="20"/>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9</w:t>
      </w:r>
    </w:p>
    <w:p>
      <w:pPr>
        <w:spacing w:before="240" w:after="240"/>
        <w:jc w:val="center"/>
        <w:rPr>
          <w:rFonts w:ascii="Calibri" w:hAnsi="Calibri" w:cs="Calibri"/>
          <w:b/>
          <w:sz w:val="36"/>
          <w:szCs w:val="36"/>
        </w:rPr>
      </w:pPr>
      <w:r>
        <w:rPr>
          <w:rFonts w:ascii="Calibri" w:hAnsi="Calibri" w:cs="Calibri"/>
          <w:b/>
          <w:sz w:val="36"/>
          <w:szCs w:val="36"/>
        </w:rPr>
        <w:t>Déclaration de créance pour le remboursement de frais de déplacement occasionnés lors d’une formation suivie en CTA</w:t>
      </w:r>
    </w:p>
    <w:p>
      <w:pPr>
        <w:spacing w:before="240" w:after="240"/>
        <w:jc w:val="center"/>
        <w:rPr>
          <w:rFonts w:ascii="Calibri" w:hAnsi="Calibri" w:cs="Calibri"/>
          <w:b/>
          <w:sz w:val="36"/>
          <w:szCs w:val="36"/>
        </w:rPr>
      </w:pPr>
      <w:r>
        <w:rPr>
          <w:rFonts w:ascii="Calibri" w:hAnsi="Calibri" w:cs="Calibri"/>
          <w:b/>
          <w:sz w:val="36"/>
          <w:szCs w:val="36"/>
        </w:rPr>
        <w:t>Location d’un véhicule</w:t>
      </w:r>
    </w:p>
    <w:p>
      <w:pPr>
        <w:rPr>
          <w:rFonts w:asciiTheme="minorHAnsi" w:hAnsiTheme="minorHAnsi" w:cstheme="minorHAnsi"/>
          <w:sz w:val="20"/>
          <w:szCs w:val="20"/>
        </w:rPr>
      </w:pPr>
      <w:r>
        <w:rPr>
          <w:rFonts w:asciiTheme="minorHAnsi" w:hAnsiTheme="minorHAnsi" w:cstheme="minorHAnsi"/>
          <w:sz w:val="20"/>
          <w:szCs w:val="20"/>
        </w:rPr>
        <w:br w:type="page"/>
      </w:r>
    </w:p>
    <w:p>
      <w:pPr>
        <w:ind w:left="2880"/>
        <w:jc w:val="center"/>
        <w:rPr>
          <w:rFonts w:asciiTheme="minorHAnsi" w:hAnsiTheme="minorHAnsi" w:cstheme="minorHAnsi"/>
          <w:b/>
          <w:sz w:val="20"/>
          <w:szCs w:val="20"/>
        </w:rPr>
      </w:pPr>
      <w:r>
        <w:rPr>
          <w:rFonts w:asciiTheme="minorHAnsi" w:hAnsiTheme="minorHAnsi" w:cstheme="minorHAnsi"/>
          <w:noProof/>
          <w:sz w:val="20"/>
          <w:szCs w:val="20"/>
          <w:lang w:eastAsia="fr-BE"/>
        </w:rPr>
        <w:lastRenderedPageBreak/>
        <w:drawing>
          <wp:anchor distT="0" distB="0" distL="114300" distR="114300" simplePos="0" relativeHeight="251651072" behindDoc="0" locked="0" layoutInCell="1" allowOverlap="1">
            <wp:simplePos x="0" y="0"/>
            <wp:positionH relativeFrom="column">
              <wp:posOffset>-19050</wp:posOffset>
            </wp:positionH>
            <wp:positionV relativeFrom="paragraph">
              <wp:posOffset>-134781</wp:posOffset>
            </wp:positionV>
            <wp:extent cx="1130400" cy="1080000"/>
            <wp:effectExtent l="0" t="0" r="0" b="6350"/>
            <wp:wrapNone/>
            <wp:docPr id="95" name="Image 76" descr="FWB_QUADRI_VE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WB_QUADRI_VERTI"/>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400" cy="1080000"/>
                    </a:xfrm>
                    <a:prstGeom prst="rect">
                      <a:avLst/>
                    </a:prstGeom>
                    <a:noFill/>
                  </pic:spPr>
                </pic:pic>
              </a:graphicData>
            </a:graphic>
            <wp14:sizeRelH relativeFrom="page">
              <wp14:pctWidth>0</wp14:pctWidth>
            </wp14:sizeRelH>
            <wp14:sizeRelV relativeFrom="page">
              <wp14:pctHeight>0</wp14:pctHeight>
            </wp14:sizeRelV>
          </wp:anchor>
        </w:drawing>
      </w:r>
    </w:p>
    <w:p>
      <w:pPr>
        <w:pBdr>
          <w:top w:val="single" w:sz="4" w:space="1" w:color="auto"/>
          <w:left w:val="single" w:sz="4" w:space="4" w:color="auto"/>
          <w:bottom w:val="single" w:sz="4" w:space="1" w:color="auto"/>
          <w:right w:val="single" w:sz="4" w:space="4" w:color="auto"/>
        </w:pBdr>
        <w:ind w:left="2880"/>
        <w:jc w:val="center"/>
        <w:rPr>
          <w:rFonts w:asciiTheme="minorHAnsi" w:hAnsiTheme="minorHAnsi" w:cstheme="minorHAnsi"/>
          <w:b/>
          <w:sz w:val="20"/>
          <w:szCs w:val="20"/>
        </w:rPr>
      </w:pPr>
      <w:r>
        <w:rPr>
          <w:rFonts w:asciiTheme="minorHAnsi" w:hAnsiTheme="minorHAnsi" w:cstheme="minorHAnsi"/>
          <w:b/>
          <w:sz w:val="20"/>
          <w:szCs w:val="20"/>
        </w:rPr>
        <w:t xml:space="preserve">DECLARATION DE CREANCE POUR LE REMBOURSEMENT DE FRAIS DE DEPLACEMENT </w:t>
      </w:r>
      <w:r>
        <w:rPr>
          <w:rFonts w:asciiTheme="minorHAnsi" w:hAnsiTheme="minorHAnsi" w:cstheme="minorHAnsi"/>
          <w:b/>
          <w:caps/>
          <w:sz w:val="20"/>
          <w:szCs w:val="20"/>
        </w:rPr>
        <w:t>occasionnés</w:t>
      </w:r>
      <w:r>
        <w:rPr>
          <w:rFonts w:asciiTheme="minorHAnsi" w:hAnsiTheme="minorHAnsi" w:cstheme="minorHAnsi"/>
          <w:b/>
          <w:sz w:val="20"/>
          <w:szCs w:val="20"/>
        </w:rPr>
        <w:t xml:space="preserve"> </w:t>
      </w:r>
      <w:r>
        <w:rPr>
          <w:rFonts w:asciiTheme="minorHAnsi" w:hAnsiTheme="minorHAnsi" w:cstheme="minorHAnsi"/>
          <w:b/>
          <w:caps/>
          <w:sz w:val="20"/>
          <w:szCs w:val="20"/>
        </w:rPr>
        <w:t>lors d’une</w:t>
      </w:r>
      <w:r>
        <w:rPr>
          <w:rFonts w:asciiTheme="minorHAnsi" w:hAnsiTheme="minorHAnsi" w:cstheme="minorHAnsi"/>
          <w:b/>
          <w:sz w:val="20"/>
          <w:szCs w:val="20"/>
        </w:rPr>
        <w:t xml:space="preserve"> FORMATION SUIVIE EN CTA Location d’un véhicule</w:t>
      </w:r>
    </w:p>
    <w:p>
      <w:pPr>
        <w:ind w:left="2880"/>
        <w:rPr>
          <w:rFonts w:asciiTheme="minorHAnsi" w:hAnsiTheme="minorHAnsi" w:cstheme="minorHAnsi"/>
          <w:sz w:val="20"/>
          <w:szCs w:val="20"/>
        </w:rPr>
      </w:pPr>
    </w:p>
    <w:p>
      <w:pPr>
        <w:rPr>
          <w:rFonts w:asciiTheme="minorHAnsi" w:hAnsiTheme="minorHAnsi" w:cstheme="minorHAnsi"/>
          <w:sz w:val="20"/>
          <w:szCs w:val="20"/>
        </w:rPr>
      </w:pPr>
    </w:p>
    <w:p>
      <w:pPr>
        <w:rPr>
          <w:rFonts w:asciiTheme="minorHAnsi" w:hAnsiTheme="minorHAnsi" w:cstheme="minorHAnsi"/>
          <w:sz w:val="20"/>
          <w:szCs w:val="20"/>
        </w:rPr>
      </w:pPr>
    </w:p>
    <w:p>
      <w:pPr>
        <w:spacing w:line="360" w:lineRule="auto"/>
        <w:rPr>
          <w:rFonts w:asciiTheme="minorHAnsi" w:hAnsiTheme="minorHAnsi" w:cstheme="minorHAnsi"/>
          <w:sz w:val="20"/>
          <w:szCs w:val="20"/>
        </w:rPr>
      </w:pPr>
      <w:r>
        <w:rPr>
          <w:rFonts w:asciiTheme="minorHAnsi" w:hAnsiTheme="minorHAnsi" w:cstheme="minorHAnsi"/>
          <w:sz w:val="20"/>
          <w:szCs w:val="20"/>
        </w:rPr>
        <w:t>Nom, prénom et fonction du déclarant :</w:t>
      </w:r>
    </w:p>
    <w:p>
      <w:pPr>
        <w:spacing w:line="360" w:lineRule="auto"/>
        <w:rPr>
          <w:rFonts w:asciiTheme="minorHAnsi" w:hAnsiTheme="minorHAnsi" w:cstheme="minorHAnsi"/>
          <w:sz w:val="20"/>
          <w:szCs w:val="20"/>
        </w:rPr>
      </w:pPr>
      <w:r>
        <w:rPr>
          <w:rFonts w:asciiTheme="minorHAnsi" w:hAnsiTheme="minorHAnsi" w:cstheme="minorHAnsi"/>
          <w:sz w:val="20"/>
          <w:szCs w:val="20"/>
        </w:rPr>
        <w:t>Nom de l’établissement :</w:t>
      </w:r>
    </w:p>
    <w:p>
      <w:pPr>
        <w:spacing w:line="360" w:lineRule="auto"/>
        <w:rPr>
          <w:rFonts w:asciiTheme="minorHAnsi" w:hAnsiTheme="minorHAnsi" w:cstheme="minorHAnsi"/>
          <w:sz w:val="20"/>
          <w:szCs w:val="20"/>
        </w:rPr>
      </w:pPr>
      <w:r>
        <w:rPr>
          <w:rFonts w:asciiTheme="minorHAnsi" w:hAnsiTheme="minorHAnsi" w:cstheme="minorHAnsi"/>
          <w:sz w:val="20"/>
          <w:szCs w:val="20"/>
        </w:rPr>
        <w:t>Adresse de l’établissement :</w:t>
      </w:r>
    </w:p>
    <w:p>
      <w:pPr>
        <w:spacing w:line="360" w:lineRule="auto"/>
        <w:rPr>
          <w:rFonts w:asciiTheme="minorHAnsi" w:hAnsiTheme="minorHAnsi" w:cstheme="minorHAnsi"/>
          <w:sz w:val="20"/>
          <w:szCs w:val="20"/>
        </w:rPr>
      </w:pPr>
      <w:r>
        <w:rPr>
          <w:rFonts w:asciiTheme="minorHAnsi" w:hAnsiTheme="minorHAnsi" w:cstheme="minorHAnsi"/>
          <w:sz w:val="20"/>
          <w:szCs w:val="20"/>
        </w:rPr>
        <w:t>Coordonnées bancaires du déclarant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IBAN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BIC :</w:t>
      </w:r>
    </w:p>
    <w:p>
      <w:pPr>
        <w:spacing w:line="360" w:lineRule="auto"/>
        <w:rPr>
          <w:rFonts w:asciiTheme="minorHAnsi" w:hAnsiTheme="minorHAnsi" w:cstheme="minorHAnsi"/>
          <w:sz w:val="20"/>
          <w:szCs w:val="20"/>
        </w:rPr>
      </w:pPr>
      <w:r>
        <w:rPr>
          <w:rFonts w:asciiTheme="minorHAnsi" w:hAnsiTheme="minorHAnsi" w:cstheme="minorHAnsi"/>
          <w:sz w:val="20"/>
          <w:szCs w:val="20"/>
        </w:rPr>
        <w:tab/>
        <w:t>Nom titulaire compte :</w:t>
      </w:r>
    </w:p>
    <w:p>
      <w:pPr>
        <w:spacing w:after="120" w:line="360" w:lineRule="auto"/>
        <w:rPr>
          <w:rFonts w:asciiTheme="minorHAnsi" w:hAnsiTheme="minorHAnsi" w:cstheme="minorHAnsi"/>
          <w:sz w:val="20"/>
          <w:szCs w:val="20"/>
        </w:rPr>
      </w:pPr>
      <w:r>
        <w:rPr>
          <w:rFonts w:asciiTheme="minorHAnsi" w:hAnsiTheme="minorHAnsi" w:cstheme="minorHAnsi"/>
          <w:sz w:val="20"/>
          <w:szCs w:val="20"/>
        </w:rPr>
        <w:tab/>
        <w:t>Adresse titulaire compte :</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882"/>
        <w:gridCol w:w="2812"/>
        <w:gridCol w:w="1620"/>
      </w:tblGrid>
      <w:tr>
        <w:tc>
          <w:tcPr>
            <w:tcW w:w="0" w:type="auto"/>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Dénomination justificatif</w:t>
            </w:r>
          </w:p>
        </w:tc>
        <w:tc>
          <w:tcPr>
            <w:tcW w:w="0" w:type="auto"/>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Montant TVAC</w:t>
            </w:r>
          </w:p>
        </w:tc>
        <w:tc>
          <w:tcPr>
            <w:tcW w:w="2812" w:type="dxa"/>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Code Formation</w:t>
            </w:r>
          </w:p>
        </w:tc>
        <w:tc>
          <w:tcPr>
            <w:tcW w:w="1620" w:type="dxa"/>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Justificatif n°</w:t>
            </w: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bl>
    <w:p>
      <w:pPr>
        <w:spacing w:before="360" w:line="480" w:lineRule="auto"/>
        <w:rPr>
          <w:rFonts w:asciiTheme="minorHAnsi" w:hAnsiTheme="minorHAnsi" w:cstheme="minorHAnsi"/>
          <w:sz w:val="20"/>
          <w:szCs w:val="20"/>
        </w:rPr>
      </w:pPr>
      <w:r>
        <w:rPr>
          <w:rFonts w:asciiTheme="minorHAnsi" w:hAnsiTheme="minorHAnsi" w:cstheme="minorHAnsi"/>
          <w:sz w:val="20"/>
          <w:szCs w:val="20"/>
        </w:rPr>
        <w:t xml:space="preserve">Le montant total des frais à rembourser TVAC s’élève à (écrire en toutes lettres) :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Montant à rembourser dans le cadre de la formation (intitulé)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 xml:space="preserve">Qui a eu lieu du                                          au             </w:t>
      </w:r>
    </w:p>
    <w:p>
      <w:pPr>
        <w:spacing w:before="120" w:line="360" w:lineRule="auto"/>
        <w:rPr>
          <w:rFonts w:asciiTheme="minorHAnsi" w:hAnsiTheme="minorHAnsi" w:cstheme="minorHAnsi"/>
          <w:sz w:val="20"/>
          <w:szCs w:val="20"/>
        </w:rPr>
      </w:pPr>
      <w:r>
        <w:rPr>
          <w:rFonts w:asciiTheme="minorHAnsi" w:hAnsiTheme="minorHAnsi" w:cstheme="minorHAnsi"/>
          <w:b/>
          <w:noProof/>
          <w:sz w:val="20"/>
          <w:szCs w:val="20"/>
          <w:u w:val="single"/>
          <w:lang w:eastAsia="fr-BE"/>
        </w:rPr>
        <mc:AlternateContent>
          <mc:Choice Requires="wps">
            <w:drawing>
              <wp:anchor distT="0" distB="0" distL="114300" distR="114300" simplePos="0" relativeHeight="251650048" behindDoc="0" locked="0" layoutInCell="1" allowOverlap="1">
                <wp:simplePos x="0" y="0"/>
                <wp:positionH relativeFrom="column">
                  <wp:posOffset>3836727</wp:posOffset>
                </wp:positionH>
                <wp:positionV relativeFrom="paragraph">
                  <wp:posOffset>224325</wp:posOffset>
                </wp:positionV>
                <wp:extent cx="1976755" cy="1822450"/>
                <wp:effectExtent l="13970" t="12700" r="9525" b="12700"/>
                <wp:wrapNone/>
                <wp:docPr id="94"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6755" cy="1822450"/>
                        </a:xfrm>
                        <a:prstGeom prst="rect">
                          <a:avLst/>
                        </a:prstGeom>
                        <a:solidFill>
                          <a:srgbClr val="FFFFFF"/>
                        </a:solidFill>
                        <a:ln w="9525">
                          <a:solidFill>
                            <a:srgbClr val="000000"/>
                          </a:solidFill>
                          <a:miter lim="800000"/>
                          <a:headEnd/>
                          <a:tailEnd/>
                        </a:ln>
                      </wps:spPr>
                      <wps:txbx>
                        <w:txbxContent>
                          <w:p>
                            <w:pPr>
                              <w:jc w:val="center"/>
                              <w:rPr>
                                <w:rFonts w:ascii="Calibri" w:hAnsi="Calibri" w:cs="Calibri"/>
                                <w:sz w:val="20"/>
                                <w:szCs w:val="20"/>
                              </w:rPr>
                            </w:pPr>
                            <w:r>
                              <w:rPr>
                                <w:rFonts w:ascii="Calibri" w:hAnsi="Calibri" w:cs="Calibri"/>
                                <w:b/>
                                <w:sz w:val="22"/>
                                <w:szCs w:val="22"/>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(signature + cachet)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028" type="#_x0000_t202" style="position:absolute;margin-left:302.1pt;margin-top:17.65pt;width:155.65pt;height:143.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CX5LwIAAFoEAAAOAAAAZHJzL2Uyb0RvYy54bWysVNuO2yAQfa/Uf0C8N06seJNY66y22aaq&#10;tL1Iu/0AjHGMCgwFEjv9+g44SaNt+1LVD4iB4czMOTO+vRu0IgfhvART0dlkSokwHBppdhX9+rx9&#10;s6TEB2YapsCIih6Fp3fr169ue1uKHDpQjXAEQYwve1vRLgRbZpnnndDMT8AKg5ctOM0Cmm6XNY71&#10;iK5Vlk+nN1kPrrEOuPAeTx/GS7pO+G0rePjctl4EoiqKuYW0urTWcc3Wt6zcOWY7yU9psH/IQjNp&#10;MOgF6oEFRvZO/galJXfgoQ0TDjqDtpVcpBqwmtn0RTVPHbMi1YLkeHuhyf8/WP7p8MUR2VR0NafE&#10;MI0aPYshkLcwkEUR+emtL9HtyaJjGPAcdU61evsI/JsnBjYdMztx7xz0nWAN5jeLL7OrpyOOjyB1&#10;/xEajMP2ARLQ0DodyUM6CKKjTseLNjEXHkOuFjeLoqCE491smefzIqmXsfL83Dof3gvQJG4q6lD8&#10;BM8Ojz7EdFh5donRPCjZbKVSyXC7eqMcOTBslG36UgUv3JQhPVJV5MXIwF8hpun7E4SWATteSV3R&#10;5cWJlZG3d6ZJ/RiYVOMeU1bmRGTkbmQxDPWQNMvP+tTQHJFZB2OD40DipgP3g5Iem7ui/vueOUGJ&#10;+mBQndVsPo/TkIx5scjRcNc39fUNMxyhKhooGbebME7Q3jq56zDS2A8G7lHRViauo/RjVqf0sYGT&#10;BKdhixNybSevX7+E9U8AAAD//wMAUEsDBBQABgAIAAAAIQCxXO8j4QAAAAoBAAAPAAAAZHJzL2Rv&#10;d25yZXYueG1sTI/BTsMwDIbvSLxDZCQuaEvXrmUrTSeEBGI32BBcs8ZrKxKnJFlX3p5wgqPtT7+/&#10;v9pMRrMRne8tCVjME2BIjVU9tQLe9o+zFTAfJCmpLaGAb/SwqS8vKlkqe6ZXHHehZTGEfCkFdCEM&#10;Jee+6dBIP7cDUrwdrTMyxNG1XDl5juFG8zRJCm5kT/FDJwd86LD53J2MgNXyefzw2+zlvSmOeh1u&#10;bsenLyfE9dV0fwcs4BT+YPjVj+pQR6eDPZHyTAsokmUaUQFZngGLwHqR58AOcZGmGfC64v8r1D8A&#10;AAD//wMAUEsBAi0AFAAGAAgAAAAhALaDOJL+AAAA4QEAABMAAAAAAAAAAAAAAAAAAAAAAFtDb250&#10;ZW50X1R5cGVzXS54bWxQSwECLQAUAAYACAAAACEAOP0h/9YAAACUAQAACwAAAAAAAAAAAAAAAAAv&#10;AQAAX3JlbHMvLnJlbHNQSwECLQAUAAYACAAAACEAGDwl+S8CAABaBAAADgAAAAAAAAAAAAAAAAAu&#10;AgAAZHJzL2Uyb0RvYy54bWxQSwECLQAUAAYACAAAACEAsVzvI+EAAAAKAQAADwAAAAAAAAAAAAAA&#10;AACJBAAAZHJzL2Rvd25yZXYueG1sUEsFBgAAAAAEAAQA8wAAAJcFAAAAAA==&#10;">
                <v:textbox>
                  <w:txbxContent>
                    <w:p>
                      <w:pPr>
                        <w:jc w:val="center"/>
                        <w:rPr>
                          <w:rFonts w:ascii="Calibri" w:hAnsi="Calibri" w:cs="Calibri"/>
                          <w:sz w:val="20"/>
                          <w:szCs w:val="20"/>
                        </w:rPr>
                      </w:pPr>
                      <w:r>
                        <w:rPr>
                          <w:rFonts w:ascii="Calibri" w:hAnsi="Calibri" w:cs="Calibri"/>
                          <w:b/>
                          <w:sz w:val="22"/>
                          <w:szCs w:val="22"/>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w:t>
                      </w:r>
                      <w:proofErr w:type="gramStart"/>
                      <w:r>
                        <w:rPr>
                          <w:rFonts w:ascii="Calibri" w:hAnsi="Calibri" w:cs="Calibri"/>
                          <w:i/>
                          <w:sz w:val="20"/>
                          <w:szCs w:val="20"/>
                        </w:rPr>
                        <w:t>signature</w:t>
                      </w:r>
                      <w:proofErr w:type="gramEnd"/>
                      <w:r>
                        <w:rPr>
                          <w:rFonts w:ascii="Calibri" w:hAnsi="Calibri" w:cs="Calibri"/>
                          <w:i/>
                          <w:sz w:val="20"/>
                          <w:szCs w:val="20"/>
                        </w:rPr>
                        <w:t xml:space="preserve"> + cachet)</w:t>
                      </w:r>
                    </w:p>
                  </w:txbxContent>
                </v:textbox>
              </v:shape>
            </w:pict>
          </mc:Fallback>
        </mc:AlternateContent>
      </w:r>
      <w:r>
        <w:rPr>
          <w:rFonts w:asciiTheme="minorHAnsi" w:hAnsiTheme="minorHAnsi" w:cstheme="minorHAnsi"/>
          <w:sz w:val="20"/>
          <w:szCs w:val="20"/>
        </w:rPr>
        <w:t>Dans le Centre de Technologies Avancées (intitulé)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Certifié sincère et véritable en date du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Signature et cachet du déclarant :</w:t>
      </w:r>
    </w:p>
    <w:p>
      <w:pPr>
        <w:rPr>
          <w:rFonts w:asciiTheme="minorHAnsi" w:hAnsiTheme="minorHAnsi" w:cstheme="minorHAnsi"/>
          <w:b/>
          <w:sz w:val="20"/>
          <w:szCs w:val="20"/>
          <w:u w:val="single"/>
        </w:rPr>
      </w:pPr>
    </w:p>
    <w:p>
      <w:pPr>
        <w:rPr>
          <w:rFonts w:asciiTheme="minorHAnsi" w:hAnsiTheme="minorHAnsi" w:cstheme="minorHAnsi"/>
          <w:b/>
          <w:sz w:val="20"/>
          <w:szCs w:val="20"/>
          <w:u w:val="single"/>
        </w:rPr>
      </w:pPr>
    </w:p>
    <w:p>
      <w:pPr>
        <w:rPr>
          <w:rFonts w:asciiTheme="minorHAnsi" w:hAnsiTheme="minorHAnsi" w:cstheme="minorHAnsi"/>
          <w:b/>
          <w:sz w:val="16"/>
          <w:szCs w:val="16"/>
          <w:u w:val="single"/>
        </w:rPr>
      </w:pPr>
      <w:r>
        <w:rPr>
          <w:rFonts w:asciiTheme="minorHAnsi" w:hAnsiTheme="minorHAnsi" w:cstheme="minorHAnsi"/>
          <w:b/>
          <w:sz w:val="16"/>
          <w:szCs w:val="16"/>
          <w:u w:val="single"/>
        </w:rPr>
        <w:t>A transmettre à :</w:t>
      </w:r>
    </w:p>
    <w:p>
      <w:pPr>
        <w:rPr>
          <w:rFonts w:asciiTheme="minorHAnsi" w:hAnsiTheme="minorHAnsi" w:cstheme="minorHAnsi"/>
          <w:sz w:val="16"/>
          <w:szCs w:val="16"/>
        </w:rPr>
      </w:pPr>
      <w:r>
        <w:rPr>
          <w:rFonts w:asciiTheme="minorHAnsi" w:hAnsiTheme="minorHAnsi" w:cstheme="minorHAnsi"/>
          <w:sz w:val="16"/>
          <w:szCs w:val="16"/>
        </w:rPr>
        <w:t>Direction générale de l’Enseignement obligatoire</w:t>
      </w:r>
    </w:p>
    <w:p>
      <w:pPr>
        <w:rPr>
          <w:rFonts w:asciiTheme="minorHAnsi" w:hAnsiTheme="minorHAnsi" w:cstheme="minorHAnsi"/>
          <w:sz w:val="16"/>
          <w:szCs w:val="16"/>
        </w:rPr>
      </w:pPr>
      <w:r>
        <w:rPr>
          <w:rFonts w:asciiTheme="minorHAnsi" w:hAnsiTheme="minorHAnsi" w:cstheme="minorHAnsi"/>
          <w:sz w:val="16"/>
          <w:szCs w:val="16"/>
        </w:rPr>
        <w:t>Direction « Relations Ecoles-Monde du Travail »</w:t>
      </w:r>
    </w:p>
    <w:p>
      <w:pPr>
        <w:rPr>
          <w:rFonts w:asciiTheme="minorHAnsi" w:hAnsiTheme="minorHAnsi" w:cstheme="minorHAnsi"/>
          <w:sz w:val="16"/>
          <w:szCs w:val="16"/>
        </w:rPr>
      </w:pPr>
      <w:r>
        <w:rPr>
          <w:rFonts w:asciiTheme="minorHAnsi" w:hAnsiTheme="minorHAnsi" w:cstheme="minorHAnsi"/>
          <w:sz w:val="16"/>
          <w:szCs w:val="16"/>
        </w:rPr>
        <w:t>A l’attention de Madame Mélanie DE CLERFAYT</w:t>
      </w:r>
    </w:p>
    <w:p>
      <w:pPr>
        <w:rPr>
          <w:rFonts w:asciiTheme="minorHAnsi" w:hAnsiTheme="minorHAnsi" w:cstheme="minorHAnsi"/>
          <w:sz w:val="16"/>
          <w:szCs w:val="16"/>
        </w:rPr>
      </w:pPr>
      <w:r>
        <w:rPr>
          <w:rFonts w:asciiTheme="minorHAnsi" w:hAnsiTheme="minorHAnsi" w:cstheme="minorHAnsi"/>
          <w:sz w:val="16"/>
          <w:szCs w:val="16"/>
        </w:rPr>
        <w:t>Bureau 1F130</w:t>
      </w:r>
    </w:p>
    <w:p>
      <w:pPr>
        <w:rPr>
          <w:rFonts w:asciiTheme="minorHAnsi" w:hAnsiTheme="minorHAnsi" w:cstheme="minorHAnsi"/>
          <w:sz w:val="16"/>
          <w:szCs w:val="16"/>
        </w:rPr>
      </w:pPr>
      <w:r>
        <w:rPr>
          <w:rFonts w:asciiTheme="minorHAnsi" w:hAnsiTheme="minorHAnsi" w:cstheme="minorHAnsi"/>
          <w:sz w:val="16"/>
          <w:szCs w:val="16"/>
        </w:rPr>
        <w:t>Rue A. Lavallée, 1</w:t>
      </w:r>
    </w:p>
    <w:p>
      <w:pPr>
        <w:rPr>
          <w:rFonts w:asciiTheme="minorHAnsi" w:hAnsiTheme="minorHAnsi" w:cstheme="minorHAnsi"/>
          <w:sz w:val="16"/>
          <w:szCs w:val="16"/>
        </w:rPr>
      </w:pPr>
      <w:r>
        <w:rPr>
          <w:rFonts w:asciiTheme="minorHAnsi" w:hAnsiTheme="minorHAnsi" w:cstheme="minorHAnsi"/>
          <w:sz w:val="16"/>
          <w:szCs w:val="16"/>
        </w:rPr>
        <w:t>1080 – Bruxelles</w:t>
      </w:r>
    </w:p>
    <w:p>
      <w:pPr>
        <w:rPr>
          <w:rFonts w:asciiTheme="minorHAnsi" w:hAnsiTheme="minorHAnsi" w:cstheme="minorHAnsi"/>
          <w:sz w:val="12"/>
          <w:szCs w:val="12"/>
        </w:rPr>
      </w:pPr>
    </w:p>
    <w:p>
      <w:pPr>
        <w:spacing w:before="240" w:after="240"/>
        <w:jc w:val="both"/>
        <w:rPr>
          <w:rFonts w:ascii="Calibri" w:hAnsi="Calibri" w:cs="Calibri"/>
          <w:sz w:val="22"/>
          <w:szCs w:val="22"/>
        </w:rPr>
      </w:pPr>
      <w:r>
        <w:rPr>
          <w:rFonts w:asciiTheme="minorHAnsi" w:hAnsiTheme="minorHAnsi" w:cstheme="minorHAnsi"/>
          <w:i/>
          <w:sz w:val="18"/>
          <w:szCs w:val="18"/>
        </w:rPr>
        <w:t>Les justificatifs sont à annexer à la présente.</w:t>
      </w:r>
      <w:r>
        <w:rPr>
          <w:rFonts w:asciiTheme="minorHAnsi" w:hAnsiTheme="minorHAnsi" w:cstheme="minorHAnsi"/>
          <w:i/>
          <w:sz w:val="18"/>
          <w:szCs w:val="18"/>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10</w:t>
      </w:r>
    </w:p>
    <w:p>
      <w:pPr>
        <w:spacing w:before="240" w:after="240"/>
        <w:jc w:val="center"/>
        <w:rPr>
          <w:rFonts w:ascii="Calibri" w:hAnsi="Calibri" w:cs="Calibri"/>
          <w:b/>
          <w:sz w:val="36"/>
          <w:szCs w:val="36"/>
        </w:rPr>
      </w:pPr>
      <w:r>
        <w:rPr>
          <w:rFonts w:ascii="Calibri" w:hAnsi="Calibri" w:cs="Calibri"/>
          <w:b/>
          <w:sz w:val="36"/>
          <w:szCs w:val="36"/>
        </w:rPr>
        <w:t>Déclaration de créance pour le remboursement de frais de déplacement occasionnés lors d’une formation suivie en CTA</w:t>
      </w:r>
    </w:p>
    <w:p>
      <w:pPr>
        <w:spacing w:before="240" w:after="240"/>
        <w:jc w:val="center"/>
        <w:rPr>
          <w:rFonts w:ascii="Calibri" w:hAnsi="Calibri" w:cs="Calibri"/>
          <w:b/>
          <w:sz w:val="36"/>
          <w:szCs w:val="36"/>
        </w:rPr>
      </w:pPr>
      <w:r>
        <w:rPr>
          <w:rFonts w:ascii="Calibri" w:hAnsi="Calibri" w:cs="Calibri"/>
          <w:b/>
          <w:sz w:val="36"/>
          <w:szCs w:val="36"/>
        </w:rPr>
        <w:t>Transport en commun</w:t>
      </w:r>
    </w:p>
    <w:p>
      <w:pPr>
        <w:spacing w:before="240" w:after="240"/>
        <w:jc w:val="center"/>
        <w:rPr>
          <w:rFonts w:ascii="Calibri" w:hAnsi="Calibri" w:cs="Calibri"/>
          <w:b/>
          <w:sz w:val="36"/>
          <w:szCs w:val="36"/>
        </w:rPr>
      </w:pPr>
      <w:r>
        <w:rPr>
          <w:rFonts w:ascii="Calibri" w:hAnsi="Calibri" w:cs="Calibri"/>
          <w:b/>
          <w:sz w:val="36"/>
          <w:szCs w:val="36"/>
        </w:rPr>
        <w:t>(demande d’un établissement scolaire)</w:t>
      </w:r>
    </w:p>
    <w:p>
      <w:pPr>
        <w:rPr>
          <w:rFonts w:asciiTheme="minorHAnsi" w:hAnsiTheme="minorHAnsi" w:cstheme="minorHAnsi"/>
          <w:i/>
          <w:sz w:val="18"/>
          <w:szCs w:val="18"/>
        </w:rPr>
      </w:pPr>
      <w:r>
        <w:rPr>
          <w:rFonts w:asciiTheme="minorHAnsi" w:hAnsiTheme="minorHAnsi" w:cstheme="minorHAnsi"/>
          <w:i/>
          <w:sz w:val="18"/>
          <w:szCs w:val="18"/>
        </w:rPr>
        <w:br w:type="page"/>
      </w:r>
    </w:p>
    <w:p>
      <w:pPr>
        <w:rPr>
          <w:rFonts w:asciiTheme="minorHAnsi" w:hAnsiTheme="minorHAnsi" w:cstheme="minorHAnsi"/>
          <w:i/>
          <w:sz w:val="18"/>
          <w:szCs w:val="18"/>
        </w:rPr>
      </w:pPr>
      <w:r>
        <w:rPr>
          <w:rFonts w:asciiTheme="minorHAnsi" w:hAnsiTheme="minorHAnsi" w:cstheme="minorHAnsi"/>
          <w:noProof/>
          <w:sz w:val="20"/>
          <w:szCs w:val="20"/>
          <w:lang w:eastAsia="fr-BE"/>
        </w:rPr>
        <w:lastRenderedPageBreak/>
        <w:drawing>
          <wp:anchor distT="0" distB="0" distL="114300" distR="114300" simplePos="0" relativeHeight="251724800" behindDoc="0" locked="0" layoutInCell="1" allowOverlap="1">
            <wp:simplePos x="0" y="0"/>
            <wp:positionH relativeFrom="column">
              <wp:posOffset>8094</wp:posOffset>
            </wp:positionH>
            <wp:positionV relativeFrom="paragraph">
              <wp:posOffset>3810</wp:posOffset>
            </wp:positionV>
            <wp:extent cx="1130300" cy="1079500"/>
            <wp:effectExtent l="0" t="0" r="0" b="6350"/>
            <wp:wrapNone/>
            <wp:docPr id="117" name="Image 76" descr="FWB_QUADRI_VE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WB_QUADRI_VERTI"/>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1079500"/>
                    </a:xfrm>
                    <a:prstGeom prst="rect">
                      <a:avLst/>
                    </a:prstGeom>
                    <a:noFill/>
                  </pic:spPr>
                </pic:pic>
              </a:graphicData>
            </a:graphic>
            <wp14:sizeRelH relativeFrom="page">
              <wp14:pctWidth>0</wp14:pctWidth>
            </wp14:sizeRelH>
            <wp14:sizeRelV relativeFrom="page">
              <wp14:pctHeight>0</wp14:pctHeight>
            </wp14:sizeRelV>
          </wp:anchor>
        </w:drawing>
      </w:r>
    </w:p>
    <w:p>
      <w:pPr>
        <w:ind w:left="2880"/>
        <w:jc w:val="center"/>
        <w:rPr>
          <w:rFonts w:asciiTheme="minorHAnsi" w:hAnsiTheme="minorHAnsi" w:cstheme="minorHAnsi"/>
          <w:b/>
          <w:sz w:val="20"/>
          <w:szCs w:val="20"/>
        </w:rPr>
      </w:pPr>
    </w:p>
    <w:p>
      <w:pPr>
        <w:pBdr>
          <w:top w:val="single" w:sz="4" w:space="1" w:color="auto"/>
          <w:left w:val="single" w:sz="4" w:space="4" w:color="auto"/>
          <w:bottom w:val="single" w:sz="4" w:space="1" w:color="auto"/>
          <w:right w:val="single" w:sz="4" w:space="4" w:color="auto"/>
        </w:pBdr>
        <w:ind w:left="2880"/>
        <w:jc w:val="center"/>
        <w:rPr>
          <w:rFonts w:asciiTheme="minorHAnsi" w:hAnsiTheme="minorHAnsi" w:cstheme="minorHAnsi"/>
          <w:b/>
          <w:sz w:val="20"/>
          <w:szCs w:val="20"/>
        </w:rPr>
      </w:pPr>
      <w:r>
        <w:rPr>
          <w:rFonts w:asciiTheme="minorHAnsi" w:hAnsiTheme="minorHAnsi" w:cstheme="minorHAnsi"/>
          <w:b/>
          <w:sz w:val="20"/>
          <w:szCs w:val="20"/>
        </w:rPr>
        <w:t xml:space="preserve">DECLARATION DE CREANCE POUR LE REMBOURSEMENT DE FRAIS DE DEPLACEMENT </w:t>
      </w:r>
      <w:r>
        <w:rPr>
          <w:rFonts w:asciiTheme="minorHAnsi" w:hAnsiTheme="minorHAnsi" w:cstheme="minorHAnsi"/>
          <w:b/>
          <w:caps/>
          <w:sz w:val="20"/>
          <w:szCs w:val="20"/>
        </w:rPr>
        <w:t>occasionnés</w:t>
      </w:r>
      <w:r>
        <w:rPr>
          <w:rFonts w:asciiTheme="minorHAnsi" w:hAnsiTheme="minorHAnsi" w:cstheme="minorHAnsi"/>
          <w:b/>
          <w:sz w:val="20"/>
          <w:szCs w:val="20"/>
        </w:rPr>
        <w:t xml:space="preserve"> </w:t>
      </w:r>
      <w:r>
        <w:rPr>
          <w:rFonts w:asciiTheme="minorHAnsi" w:hAnsiTheme="minorHAnsi" w:cstheme="minorHAnsi"/>
          <w:b/>
          <w:caps/>
          <w:sz w:val="20"/>
          <w:szCs w:val="20"/>
        </w:rPr>
        <w:t>lors d’une</w:t>
      </w:r>
      <w:r>
        <w:rPr>
          <w:rFonts w:asciiTheme="minorHAnsi" w:hAnsiTheme="minorHAnsi" w:cstheme="minorHAnsi"/>
          <w:b/>
          <w:sz w:val="20"/>
          <w:szCs w:val="20"/>
        </w:rPr>
        <w:t xml:space="preserve"> FORMATION SUIVIE EN CTA Transport en commun (demande de l’établissement)</w:t>
      </w:r>
    </w:p>
    <w:p>
      <w:pPr>
        <w:ind w:left="2880"/>
        <w:rPr>
          <w:rFonts w:asciiTheme="minorHAnsi" w:hAnsiTheme="minorHAnsi" w:cstheme="minorHAnsi"/>
          <w:sz w:val="20"/>
          <w:szCs w:val="20"/>
        </w:rPr>
      </w:pPr>
    </w:p>
    <w:p>
      <w:pPr>
        <w:rPr>
          <w:rFonts w:asciiTheme="minorHAnsi" w:hAnsiTheme="minorHAnsi" w:cstheme="minorHAnsi"/>
          <w:sz w:val="20"/>
          <w:szCs w:val="20"/>
        </w:rPr>
      </w:pPr>
    </w:p>
    <w:p>
      <w:pPr>
        <w:rPr>
          <w:rFonts w:asciiTheme="minorHAnsi" w:hAnsiTheme="minorHAnsi" w:cstheme="minorHAnsi"/>
          <w:sz w:val="20"/>
          <w:szCs w:val="20"/>
        </w:rPr>
      </w:pPr>
    </w:p>
    <w:p>
      <w:pPr>
        <w:spacing w:line="360" w:lineRule="auto"/>
        <w:rPr>
          <w:rFonts w:asciiTheme="minorHAnsi" w:hAnsiTheme="minorHAnsi" w:cstheme="minorHAnsi"/>
          <w:sz w:val="20"/>
          <w:szCs w:val="20"/>
        </w:rPr>
      </w:pPr>
      <w:r>
        <w:rPr>
          <w:rFonts w:asciiTheme="minorHAnsi" w:hAnsiTheme="minorHAnsi" w:cstheme="minorHAnsi"/>
          <w:sz w:val="20"/>
          <w:szCs w:val="20"/>
        </w:rPr>
        <w:t>Nom, prénom et fonction du déclarant :</w:t>
      </w:r>
    </w:p>
    <w:p>
      <w:pPr>
        <w:spacing w:line="360" w:lineRule="auto"/>
        <w:rPr>
          <w:rFonts w:asciiTheme="minorHAnsi" w:hAnsiTheme="minorHAnsi" w:cstheme="minorHAnsi"/>
          <w:sz w:val="20"/>
          <w:szCs w:val="20"/>
        </w:rPr>
      </w:pPr>
      <w:r>
        <w:rPr>
          <w:rFonts w:asciiTheme="minorHAnsi" w:hAnsiTheme="minorHAnsi" w:cstheme="minorHAnsi"/>
          <w:sz w:val="20"/>
          <w:szCs w:val="20"/>
        </w:rPr>
        <w:t>Nom de l’établissement :</w:t>
      </w:r>
    </w:p>
    <w:p>
      <w:pPr>
        <w:spacing w:line="360" w:lineRule="auto"/>
        <w:rPr>
          <w:rFonts w:asciiTheme="minorHAnsi" w:hAnsiTheme="minorHAnsi" w:cstheme="minorHAnsi"/>
          <w:sz w:val="20"/>
          <w:szCs w:val="20"/>
        </w:rPr>
      </w:pPr>
      <w:r>
        <w:rPr>
          <w:rFonts w:asciiTheme="minorHAnsi" w:hAnsiTheme="minorHAnsi" w:cstheme="minorHAnsi"/>
          <w:sz w:val="20"/>
          <w:szCs w:val="20"/>
        </w:rPr>
        <w:t>Adresse de l’établissement :</w:t>
      </w:r>
    </w:p>
    <w:p>
      <w:pPr>
        <w:spacing w:line="360" w:lineRule="auto"/>
        <w:rPr>
          <w:rFonts w:asciiTheme="minorHAnsi" w:hAnsiTheme="minorHAnsi" w:cstheme="minorHAnsi"/>
          <w:sz w:val="20"/>
          <w:szCs w:val="20"/>
        </w:rPr>
      </w:pPr>
      <w:r>
        <w:rPr>
          <w:rFonts w:asciiTheme="minorHAnsi" w:hAnsiTheme="minorHAnsi" w:cstheme="minorHAnsi"/>
          <w:sz w:val="20"/>
          <w:szCs w:val="20"/>
        </w:rPr>
        <w:t>Coordonnées bancaires du déclarant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IBAN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BIC :</w:t>
      </w:r>
    </w:p>
    <w:p>
      <w:pPr>
        <w:spacing w:line="360" w:lineRule="auto"/>
        <w:rPr>
          <w:rFonts w:asciiTheme="minorHAnsi" w:hAnsiTheme="minorHAnsi" w:cstheme="minorHAnsi"/>
          <w:sz w:val="20"/>
          <w:szCs w:val="20"/>
        </w:rPr>
      </w:pPr>
      <w:r>
        <w:rPr>
          <w:rFonts w:asciiTheme="minorHAnsi" w:hAnsiTheme="minorHAnsi" w:cstheme="minorHAnsi"/>
          <w:sz w:val="20"/>
          <w:szCs w:val="20"/>
        </w:rPr>
        <w:tab/>
        <w:t>Nom titulaire compte :</w:t>
      </w:r>
    </w:p>
    <w:p>
      <w:pPr>
        <w:spacing w:after="120" w:line="360" w:lineRule="auto"/>
        <w:rPr>
          <w:rFonts w:asciiTheme="minorHAnsi" w:hAnsiTheme="minorHAnsi" w:cstheme="minorHAnsi"/>
          <w:sz w:val="20"/>
          <w:szCs w:val="20"/>
        </w:rPr>
      </w:pPr>
      <w:r>
        <w:rPr>
          <w:rFonts w:asciiTheme="minorHAnsi" w:hAnsiTheme="minorHAnsi" w:cstheme="minorHAnsi"/>
          <w:sz w:val="20"/>
          <w:szCs w:val="20"/>
        </w:rPr>
        <w:tab/>
        <w:t>Adresse titulaire compte :</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882"/>
        <w:gridCol w:w="2812"/>
        <w:gridCol w:w="1620"/>
      </w:tblGrid>
      <w:tr>
        <w:tc>
          <w:tcPr>
            <w:tcW w:w="0" w:type="auto"/>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Dénomination justificatif</w:t>
            </w:r>
          </w:p>
        </w:tc>
        <w:tc>
          <w:tcPr>
            <w:tcW w:w="0" w:type="auto"/>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Montant TVAC</w:t>
            </w:r>
          </w:p>
        </w:tc>
        <w:tc>
          <w:tcPr>
            <w:tcW w:w="2812" w:type="dxa"/>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Code Formation</w:t>
            </w:r>
          </w:p>
        </w:tc>
        <w:tc>
          <w:tcPr>
            <w:tcW w:w="1620" w:type="dxa"/>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Justificatif n°</w:t>
            </w: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bl>
    <w:p>
      <w:pPr>
        <w:spacing w:before="360" w:line="480" w:lineRule="auto"/>
        <w:rPr>
          <w:rFonts w:asciiTheme="minorHAnsi" w:hAnsiTheme="minorHAnsi" w:cstheme="minorHAnsi"/>
          <w:sz w:val="20"/>
          <w:szCs w:val="20"/>
        </w:rPr>
      </w:pPr>
      <w:r>
        <w:rPr>
          <w:rFonts w:asciiTheme="minorHAnsi" w:hAnsiTheme="minorHAnsi" w:cstheme="minorHAnsi"/>
          <w:sz w:val="20"/>
          <w:szCs w:val="20"/>
        </w:rPr>
        <w:t xml:space="preserve">Le montant total des frais à rembourser TVAC s’élève à (écrire en toutes lettres) :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Montant à rembourser dans le cadre de la formation (intitulé)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 xml:space="preserve">Qui a eu lieu du                                          au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Dans le Centre de Technologies Avancées (intitulé) :</w:t>
      </w:r>
    </w:p>
    <w:p>
      <w:pPr>
        <w:spacing w:before="120" w:line="360" w:lineRule="auto"/>
        <w:rPr>
          <w:rFonts w:asciiTheme="minorHAnsi" w:hAnsiTheme="minorHAnsi" w:cstheme="minorHAnsi"/>
          <w:sz w:val="20"/>
          <w:szCs w:val="20"/>
        </w:rPr>
      </w:pPr>
      <w:r>
        <w:rPr>
          <w:rFonts w:asciiTheme="minorHAnsi" w:hAnsiTheme="minorHAnsi" w:cstheme="minorHAnsi"/>
          <w:b/>
          <w:noProof/>
          <w:sz w:val="20"/>
          <w:szCs w:val="20"/>
          <w:u w:val="single"/>
          <w:lang w:eastAsia="fr-BE"/>
        </w:rPr>
        <mc:AlternateContent>
          <mc:Choice Requires="wps">
            <w:drawing>
              <wp:anchor distT="0" distB="0" distL="114300" distR="114300" simplePos="0" relativeHeight="251723776" behindDoc="0" locked="0" layoutInCell="1" allowOverlap="1">
                <wp:simplePos x="0" y="0"/>
                <wp:positionH relativeFrom="column">
                  <wp:posOffset>3672953</wp:posOffset>
                </wp:positionH>
                <wp:positionV relativeFrom="paragraph">
                  <wp:posOffset>58382</wp:posOffset>
                </wp:positionV>
                <wp:extent cx="1976755" cy="1822450"/>
                <wp:effectExtent l="13970" t="12700" r="9525" b="12700"/>
                <wp:wrapNone/>
                <wp:docPr id="116"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6755" cy="1822450"/>
                        </a:xfrm>
                        <a:prstGeom prst="rect">
                          <a:avLst/>
                        </a:prstGeom>
                        <a:solidFill>
                          <a:srgbClr val="FFFFFF"/>
                        </a:solidFill>
                        <a:ln w="9525">
                          <a:solidFill>
                            <a:srgbClr val="000000"/>
                          </a:solidFill>
                          <a:miter lim="800000"/>
                          <a:headEnd/>
                          <a:tailEnd/>
                        </a:ln>
                      </wps:spPr>
                      <wps:txbx>
                        <w:txbxContent>
                          <w:p>
                            <w:pPr>
                              <w:jc w:val="center"/>
                              <w:rPr>
                                <w:rFonts w:ascii="Calibri" w:hAnsi="Calibri" w:cs="Calibri"/>
                                <w:sz w:val="20"/>
                                <w:szCs w:val="20"/>
                              </w:rPr>
                            </w:pPr>
                            <w:r>
                              <w:rPr>
                                <w:rFonts w:ascii="Calibri" w:hAnsi="Calibri" w:cs="Calibri"/>
                                <w:b/>
                                <w:sz w:val="22"/>
                                <w:szCs w:val="22"/>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(signature + cachet)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202" style="position:absolute;margin-left:289.2pt;margin-top:4.6pt;width:155.65pt;height:14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MAIAAFsEAAAOAAAAZHJzL2Uyb0RvYy54bWysVNuO0zAQfUfiHyy/07Sh6SVqulq6FCEt&#10;F2mXD3AcJ7FwPMZ2myxfv2OnLdUCL4g8WB57fGbmnJlsboZOkaOwToIu6GwypURoDpXUTUG/Pe7f&#10;rChxnumKKdCioE/C0Zvt61eb3uQihRZUJSxBEO3y3hS09d7kSeJ4KzrmJmCExssabMc8mrZJKst6&#10;RO9Ukk6ni6QHWxkLXDiHp3fjJd1G/LoW3H+payc8UQXF3HxcbVzLsCbbDcsby0wr+SkN9g9ZdExq&#10;DHqBumOekYOVv0F1kltwUPsJhy6BupZcxBqwmtn0RTUPLTMi1oLkOHOhyf0/WP75+NUSWaF2swUl&#10;mnUo0qMYPHkHA1lmgaDeuBz9Hgx6+gHP0TkW68w98O+OaNi1TDfi1lroW8EqTHAWXiZXT0ccF0DK&#10;/hNUGIcdPESgobZdYA/5IIiOQj1dxAm58BByvVwss4wSjnezVZrOsyhfwvLzc2Od/yCgI2FTUIvq&#10;R3h2vHc+pMPys0uI5kDJai+VioZtyp2y5MiwU/bxixW8cFOa9AVdZ2k2MvBXiGn8/gTRSY8tr2RX&#10;0NXFieWBt/e6ig3pmVTjHlNW+kRk4G5k0Q/lEEV7e9anhOoJmbUwdjhOJG5asD8p6bG7C+p+HJgV&#10;lKiPGtVZz+bzMA7RmGfLFA17fVNe3zDNEaqgnpJxu/PjCB2MlU2LkcZ+0HCLitYych2kH7M6pY8d&#10;HCU4TVsYkWs7ev36J2yfAQAA//8DAFBLAwQUAAYACAAAACEAnCZdluAAAAAJAQAADwAAAGRycy9k&#10;b3ducmV2LnhtbEyPwU7DMBBE70j8g7VIXFDrEErihGwqhASiN2gRXN3ETSLsdbDdNPw95gTH0Yxm&#10;3lTr2Wg2KecHSwjXywSYosa2A3UIb7vHhQDmg6RWaksK4Vt5WNfnZ5UsW3uiVzVtQ8diCflSIvQh&#10;jCXnvumVkX5pR0XRO1hnZIjSdbx18hTLjeZpkmTcyIHiQi9H9dCr5nN7NAhi9Tx9+M3Ny3uTHXQR&#10;rvLp6cshXl7M93fAgprDXxh+8SM61JFpb4/UeqYRbnOxilGEIgUWfSGKHNgeIS2yFHhd8f8P6h8A&#10;AAD//wMAUEsBAi0AFAAGAAgAAAAhALaDOJL+AAAA4QEAABMAAAAAAAAAAAAAAAAAAAAAAFtDb250&#10;ZW50X1R5cGVzXS54bWxQSwECLQAUAAYACAAAACEAOP0h/9YAAACUAQAACwAAAAAAAAAAAAAAAAAv&#10;AQAAX3JlbHMvLnJlbHNQSwECLQAUAAYACAAAACEAQvk/5zACAABbBAAADgAAAAAAAAAAAAAAAAAu&#10;AgAAZHJzL2Uyb0RvYy54bWxQSwECLQAUAAYACAAAACEAnCZdluAAAAAJAQAADwAAAAAAAAAAAAAA&#10;AACKBAAAZHJzL2Rvd25yZXYueG1sUEsFBgAAAAAEAAQA8wAAAJcFAAAAAA==&#10;">
                <v:textbox>
                  <w:txbxContent>
                    <w:p>
                      <w:pPr>
                        <w:jc w:val="center"/>
                        <w:rPr>
                          <w:rFonts w:ascii="Calibri" w:hAnsi="Calibri" w:cs="Calibri"/>
                          <w:sz w:val="20"/>
                          <w:szCs w:val="20"/>
                        </w:rPr>
                      </w:pPr>
                      <w:r>
                        <w:rPr>
                          <w:rFonts w:ascii="Calibri" w:hAnsi="Calibri" w:cs="Calibri"/>
                          <w:b/>
                          <w:sz w:val="22"/>
                          <w:szCs w:val="22"/>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w:t>
                      </w:r>
                      <w:proofErr w:type="gramStart"/>
                      <w:r>
                        <w:rPr>
                          <w:rFonts w:ascii="Calibri" w:hAnsi="Calibri" w:cs="Calibri"/>
                          <w:i/>
                          <w:sz w:val="20"/>
                          <w:szCs w:val="20"/>
                        </w:rPr>
                        <w:t>signature</w:t>
                      </w:r>
                      <w:proofErr w:type="gramEnd"/>
                      <w:r>
                        <w:rPr>
                          <w:rFonts w:ascii="Calibri" w:hAnsi="Calibri" w:cs="Calibri"/>
                          <w:i/>
                          <w:sz w:val="20"/>
                          <w:szCs w:val="20"/>
                        </w:rPr>
                        <w:t xml:space="preserve"> + cachet)</w:t>
                      </w:r>
                    </w:p>
                  </w:txbxContent>
                </v:textbox>
              </v:shape>
            </w:pict>
          </mc:Fallback>
        </mc:AlternateContent>
      </w:r>
      <w:r>
        <w:rPr>
          <w:rFonts w:asciiTheme="minorHAnsi" w:hAnsiTheme="minorHAnsi" w:cstheme="minorHAnsi"/>
          <w:sz w:val="20"/>
          <w:szCs w:val="20"/>
        </w:rPr>
        <w:t>Certifié sincère et véritable en date du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Signature et cachet du déclarant :</w:t>
      </w:r>
    </w:p>
    <w:p>
      <w:pPr>
        <w:rPr>
          <w:rFonts w:asciiTheme="minorHAnsi" w:hAnsiTheme="minorHAnsi" w:cstheme="minorHAnsi"/>
          <w:b/>
          <w:sz w:val="20"/>
          <w:szCs w:val="20"/>
          <w:u w:val="single"/>
        </w:rPr>
      </w:pPr>
    </w:p>
    <w:p>
      <w:pPr>
        <w:rPr>
          <w:rFonts w:asciiTheme="minorHAnsi" w:hAnsiTheme="minorHAnsi" w:cstheme="minorHAnsi"/>
          <w:b/>
          <w:sz w:val="20"/>
          <w:szCs w:val="20"/>
          <w:u w:val="single"/>
        </w:rPr>
      </w:pPr>
    </w:p>
    <w:p>
      <w:pPr>
        <w:rPr>
          <w:rFonts w:asciiTheme="minorHAnsi" w:hAnsiTheme="minorHAnsi" w:cstheme="minorHAnsi"/>
          <w:b/>
          <w:sz w:val="16"/>
          <w:szCs w:val="16"/>
          <w:u w:val="single"/>
        </w:rPr>
      </w:pPr>
      <w:r>
        <w:rPr>
          <w:rFonts w:asciiTheme="minorHAnsi" w:hAnsiTheme="minorHAnsi" w:cstheme="minorHAnsi"/>
          <w:b/>
          <w:sz w:val="16"/>
          <w:szCs w:val="16"/>
          <w:u w:val="single"/>
        </w:rPr>
        <w:t>A transmettre à :</w:t>
      </w:r>
    </w:p>
    <w:p>
      <w:pPr>
        <w:rPr>
          <w:rFonts w:asciiTheme="minorHAnsi" w:hAnsiTheme="minorHAnsi" w:cstheme="minorHAnsi"/>
          <w:sz w:val="16"/>
          <w:szCs w:val="16"/>
        </w:rPr>
      </w:pPr>
      <w:r>
        <w:rPr>
          <w:rFonts w:asciiTheme="minorHAnsi" w:hAnsiTheme="minorHAnsi" w:cstheme="minorHAnsi"/>
          <w:sz w:val="16"/>
          <w:szCs w:val="16"/>
        </w:rPr>
        <w:t>Direction générale de l’Enseignement obligatoire</w:t>
      </w:r>
    </w:p>
    <w:p>
      <w:pPr>
        <w:rPr>
          <w:rFonts w:asciiTheme="minorHAnsi" w:hAnsiTheme="minorHAnsi" w:cstheme="minorHAnsi"/>
          <w:sz w:val="16"/>
          <w:szCs w:val="16"/>
        </w:rPr>
      </w:pPr>
      <w:r>
        <w:rPr>
          <w:rFonts w:asciiTheme="minorHAnsi" w:hAnsiTheme="minorHAnsi" w:cstheme="minorHAnsi"/>
          <w:sz w:val="16"/>
          <w:szCs w:val="16"/>
        </w:rPr>
        <w:t>Direction « Relations Ecoles-Monde du Travail »</w:t>
      </w:r>
    </w:p>
    <w:p>
      <w:pPr>
        <w:rPr>
          <w:rFonts w:asciiTheme="minorHAnsi" w:hAnsiTheme="minorHAnsi" w:cstheme="minorHAnsi"/>
          <w:sz w:val="16"/>
          <w:szCs w:val="16"/>
        </w:rPr>
      </w:pPr>
      <w:r>
        <w:rPr>
          <w:rFonts w:asciiTheme="minorHAnsi" w:hAnsiTheme="minorHAnsi" w:cstheme="minorHAnsi"/>
          <w:sz w:val="16"/>
          <w:szCs w:val="16"/>
        </w:rPr>
        <w:t>A l’attention de Madame Mélanie DE CLERFAYT</w:t>
      </w:r>
    </w:p>
    <w:p>
      <w:pPr>
        <w:rPr>
          <w:rFonts w:asciiTheme="minorHAnsi" w:hAnsiTheme="minorHAnsi" w:cstheme="minorHAnsi"/>
          <w:sz w:val="16"/>
          <w:szCs w:val="16"/>
        </w:rPr>
      </w:pPr>
      <w:r>
        <w:rPr>
          <w:rFonts w:asciiTheme="minorHAnsi" w:hAnsiTheme="minorHAnsi" w:cstheme="minorHAnsi"/>
          <w:sz w:val="16"/>
          <w:szCs w:val="16"/>
        </w:rPr>
        <w:t>Bureau 1F130</w:t>
      </w:r>
    </w:p>
    <w:p>
      <w:pPr>
        <w:rPr>
          <w:rFonts w:asciiTheme="minorHAnsi" w:hAnsiTheme="minorHAnsi" w:cstheme="minorHAnsi"/>
          <w:sz w:val="16"/>
          <w:szCs w:val="16"/>
        </w:rPr>
      </w:pPr>
      <w:r>
        <w:rPr>
          <w:rFonts w:asciiTheme="minorHAnsi" w:hAnsiTheme="minorHAnsi" w:cstheme="minorHAnsi"/>
          <w:sz w:val="16"/>
          <w:szCs w:val="16"/>
        </w:rPr>
        <w:t>Rue A. Lavallée, 1</w:t>
      </w:r>
    </w:p>
    <w:p>
      <w:pPr>
        <w:rPr>
          <w:rFonts w:asciiTheme="minorHAnsi" w:hAnsiTheme="minorHAnsi" w:cstheme="minorHAnsi"/>
          <w:sz w:val="16"/>
          <w:szCs w:val="16"/>
        </w:rPr>
      </w:pPr>
      <w:r>
        <w:rPr>
          <w:rFonts w:asciiTheme="minorHAnsi" w:hAnsiTheme="minorHAnsi" w:cstheme="minorHAnsi"/>
          <w:sz w:val="16"/>
          <w:szCs w:val="16"/>
        </w:rPr>
        <w:t>1080 – Bruxelles</w:t>
      </w:r>
    </w:p>
    <w:p>
      <w:pPr>
        <w:rPr>
          <w:rFonts w:asciiTheme="minorHAnsi" w:hAnsiTheme="minorHAnsi" w:cstheme="minorHAnsi"/>
          <w:sz w:val="12"/>
          <w:szCs w:val="12"/>
        </w:rPr>
      </w:pPr>
    </w:p>
    <w:p>
      <w:pPr>
        <w:spacing w:before="240" w:after="240"/>
        <w:jc w:val="both"/>
        <w:rPr>
          <w:rFonts w:ascii="Calibri" w:hAnsi="Calibri" w:cs="Calibri"/>
          <w:sz w:val="22"/>
          <w:szCs w:val="22"/>
        </w:rPr>
      </w:pPr>
      <w:r>
        <w:rPr>
          <w:rFonts w:asciiTheme="minorHAnsi" w:hAnsiTheme="minorHAnsi" w:cstheme="minorHAnsi"/>
          <w:i/>
          <w:sz w:val="18"/>
          <w:szCs w:val="18"/>
        </w:rPr>
        <w:t>Les justificatifs sont à annexer à la présente.</w:t>
      </w:r>
      <w:r>
        <w:rPr>
          <w:rFonts w:asciiTheme="minorHAnsi" w:hAnsiTheme="minorHAnsi" w:cstheme="minorHAnsi"/>
          <w:i/>
          <w:sz w:val="18"/>
          <w:szCs w:val="18"/>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11</w:t>
      </w:r>
    </w:p>
    <w:p>
      <w:pPr>
        <w:spacing w:before="240" w:after="240"/>
        <w:jc w:val="center"/>
        <w:rPr>
          <w:rFonts w:ascii="Calibri" w:hAnsi="Calibri" w:cs="Calibri"/>
          <w:b/>
          <w:sz w:val="36"/>
          <w:szCs w:val="36"/>
        </w:rPr>
      </w:pPr>
      <w:r>
        <w:rPr>
          <w:rFonts w:ascii="Calibri" w:hAnsi="Calibri" w:cs="Calibri"/>
          <w:b/>
          <w:sz w:val="36"/>
          <w:szCs w:val="36"/>
        </w:rPr>
        <w:t>Déclaration de créance pour le remboursement de frais de déplacement occasionnés lors d’une formation suivie en CTA</w:t>
      </w:r>
    </w:p>
    <w:p>
      <w:pPr>
        <w:spacing w:before="240" w:after="240"/>
        <w:jc w:val="center"/>
        <w:rPr>
          <w:rFonts w:ascii="Calibri" w:hAnsi="Calibri" w:cs="Calibri"/>
          <w:b/>
          <w:sz w:val="36"/>
          <w:szCs w:val="36"/>
        </w:rPr>
      </w:pPr>
      <w:r>
        <w:rPr>
          <w:rFonts w:ascii="Calibri" w:hAnsi="Calibri" w:cs="Calibri"/>
          <w:b/>
          <w:sz w:val="36"/>
          <w:szCs w:val="36"/>
        </w:rPr>
        <w:t>Transport en commun</w:t>
      </w:r>
    </w:p>
    <w:p>
      <w:pPr>
        <w:spacing w:before="240" w:after="240"/>
        <w:jc w:val="center"/>
        <w:rPr>
          <w:rFonts w:ascii="Calibri" w:hAnsi="Calibri" w:cs="Calibri"/>
          <w:b/>
          <w:sz w:val="36"/>
          <w:szCs w:val="36"/>
        </w:rPr>
      </w:pPr>
      <w:r>
        <w:rPr>
          <w:rFonts w:ascii="Calibri" w:hAnsi="Calibri" w:cs="Calibri"/>
          <w:b/>
          <w:sz w:val="36"/>
          <w:szCs w:val="36"/>
        </w:rPr>
        <w:t>(demande d’un enseignant)</w:t>
      </w:r>
    </w:p>
    <w:p>
      <w:pPr>
        <w:rPr>
          <w:rFonts w:asciiTheme="minorHAnsi" w:hAnsiTheme="minorHAnsi" w:cstheme="minorHAnsi"/>
          <w:i/>
          <w:sz w:val="18"/>
          <w:szCs w:val="18"/>
        </w:rPr>
      </w:pPr>
      <w:r>
        <w:rPr>
          <w:rFonts w:asciiTheme="minorHAnsi" w:hAnsiTheme="minorHAnsi" w:cstheme="minorHAnsi"/>
          <w:i/>
          <w:sz w:val="18"/>
          <w:szCs w:val="18"/>
        </w:rPr>
        <w:br w:type="page"/>
      </w:r>
    </w:p>
    <w:p>
      <w:pPr>
        <w:rPr>
          <w:rFonts w:asciiTheme="minorHAnsi" w:hAnsiTheme="minorHAnsi" w:cstheme="minorHAnsi"/>
          <w:i/>
          <w:sz w:val="18"/>
          <w:szCs w:val="18"/>
        </w:rPr>
      </w:pPr>
    </w:p>
    <w:p>
      <w:pPr>
        <w:ind w:left="2880"/>
        <w:jc w:val="center"/>
        <w:rPr>
          <w:rFonts w:asciiTheme="minorHAnsi" w:hAnsiTheme="minorHAnsi" w:cstheme="minorHAnsi"/>
          <w:b/>
          <w:sz w:val="20"/>
          <w:szCs w:val="20"/>
        </w:rPr>
      </w:pPr>
      <w:r>
        <w:rPr>
          <w:rFonts w:asciiTheme="minorHAnsi" w:hAnsiTheme="minorHAnsi" w:cstheme="minorHAnsi"/>
          <w:noProof/>
          <w:sz w:val="20"/>
          <w:szCs w:val="20"/>
          <w:lang w:eastAsia="fr-BE"/>
        </w:rPr>
        <w:drawing>
          <wp:anchor distT="0" distB="0" distL="114300" distR="114300" simplePos="0" relativeHeight="251727872" behindDoc="0" locked="0" layoutInCell="1" allowOverlap="1">
            <wp:simplePos x="0" y="0"/>
            <wp:positionH relativeFrom="column">
              <wp:posOffset>-19050</wp:posOffset>
            </wp:positionH>
            <wp:positionV relativeFrom="paragraph">
              <wp:posOffset>-253365</wp:posOffset>
            </wp:positionV>
            <wp:extent cx="1130400" cy="1080000"/>
            <wp:effectExtent l="0" t="0" r="0" b="6350"/>
            <wp:wrapNone/>
            <wp:docPr id="1005" name="Image 76" descr="FWB_QUADRI_VE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WB_QUADRI_VERTI"/>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400" cy="1080000"/>
                    </a:xfrm>
                    <a:prstGeom prst="rect">
                      <a:avLst/>
                    </a:prstGeom>
                    <a:noFill/>
                  </pic:spPr>
                </pic:pic>
              </a:graphicData>
            </a:graphic>
            <wp14:sizeRelH relativeFrom="page">
              <wp14:pctWidth>0</wp14:pctWidth>
            </wp14:sizeRelH>
            <wp14:sizeRelV relativeFrom="page">
              <wp14:pctHeight>0</wp14:pctHeight>
            </wp14:sizeRelV>
          </wp:anchor>
        </w:drawing>
      </w:r>
    </w:p>
    <w:p>
      <w:pPr>
        <w:pBdr>
          <w:top w:val="single" w:sz="4" w:space="1" w:color="auto"/>
          <w:left w:val="single" w:sz="4" w:space="4" w:color="auto"/>
          <w:bottom w:val="single" w:sz="4" w:space="1" w:color="auto"/>
          <w:right w:val="single" w:sz="4" w:space="4" w:color="auto"/>
        </w:pBdr>
        <w:ind w:left="2880"/>
        <w:jc w:val="center"/>
        <w:rPr>
          <w:rFonts w:asciiTheme="minorHAnsi" w:hAnsiTheme="minorHAnsi" w:cstheme="minorHAnsi"/>
          <w:b/>
          <w:sz w:val="20"/>
          <w:szCs w:val="20"/>
        </w:rPr>
      </w:pPr>
      <w:r>
        <w:rPr>
          <w:rFonts w:asciiTheme="minorHAnsi" w:hAnsiTheme="minorHAnsi" w:cstheme="minorHAnsi"/>
          <w:b/>
          <w:sz w:val="20"/>
          <w:szCs w:val="20"/>
        </w:rPr>
        <w:t xml:space="preserve">DECLARATION DE CREANCE POUR LE REMBOURSEMENT DE FRAIS DE DEPLACEMENT </w:t>
      </w:r>
      <w:r>
        <w:rPr>
          <w:rFonts w:asciiTheme="minorHAnsi" w:hAnsiTheme="minorHAnsi" w:cstheme="minorHAnsi"/>
          <w:b/>
          <w:caps/>
          <w:sz w:val="20"/>
          <w:szCs w:val="20"/>
        </w:rPr>
        <w:t>occasionnés</w:t>
      </w:r>
      <w:r>
        <w:rPr>
          <w:rFonts w:asciiTheme="minorHAnsi" w:hAnsiTheme="minorHAnsi" w:cstheme="minorHAnsi"/>
          <w:b/>
          <w:sz w:val="20"/>
          <w:szCs w:val="20"/>
        </w:rPr>
        <w:t xml:space="preserve"> </w:t>
      </w:r>
      <w:r>
        <w:rPr>
          <w:rFonts w:asciiTheme="minorHAnsi" w:hAnsiTheme="minorHAnsi" w:cstheme="minorHAnsi"/>
          <w:b/>
          <w:caps/>
          <w:sz w:val="20"/>
          <w:szCs w:val="20"/>
        </w:rPr>
        <w:t>lors d’une</w:t>
      </w:r>
      <w:r>
        <w:rPr>
          <w:rFonts w:asciiTheme="minorHAnsi" w:hAnsiTheme="minorHAnsi" w:cstheme="minorHAnsi"/>
          <w:b/>
          <w:sz w:val="20"/>
          <w:szCs w:val="20"/>
        </w:rPr>
        <w:t xml:space="preserve"> FORMATION SUIVIE EN CTA Transport en commun (demande d’un enseignant)</w:t>
      </w:r>
    </w:p>
    <w:p>
      <w:pPr>
        <w:ind w:left="2880"/>
        <w:rPr>
          <w:rFonts w:asciiTheme="minorHAnsi" w:hAnsiTheme="minorHAnsi" w:cstheme="minorHAnsi"/>
          <w:sz w:val="20"/>
          <w:szCs w:val="20"/>
        </w:rPr>
      </w:pPr>
    </w:p>
    <w:p>
      <w:pPr>
        <w:rPr>
          <w:rFonts w:asciiTheme="minorHAnsi" w:hAnsiTheme="minorHAnsi" w:cstheme="minorHAnsi"/>
          <w:sz w:val="20"/>
          <w:szCs w:val="20"/>
        </w:rPr>
      </w:pPr>
    </w:p>
    <w:p>
      <w:pPr>
        <w:spacing w:line="360" w:lineRule="auto"/>
        <w:rPr>
          <w:rFonts w:asciiTheme="minorHAnsi" w:hAnsiTheme="minorHAnsi" w:cstheme="minorHAnsi"/>
          <w:sz w:val="20"/>
          <w:szCs w:val="20"/>
        </w:rPr>
      </w:pPr>
      <w:r>
        <w:rPr>
          <w:rFonts w:asciiTheme="minorHAnsi" w:hAnsiTheme="minorHAnsi" w:cstheme="minorHAnsi"/>
          <w:sz w:val="20"/>
          <w:szCs w:val="20"/>
        </w:rPr>
        <w:t>Nom, prénom du déclarant :</w:t>
      </w:r>
    </w:p>
    <w:p>
      <w:pPr>
        <w:spacing w:line="360" w:lineRule="auto"/>
        <w:rPr>
          <w:rFonts w:asciiTheme="minorHAnsi" w:hAnsiTheme="minorHAnsi" w:cstheme="minorHAnsi"/>
          <w:sz w:val="20"/>
          <w:szCs w:val="20"/>
        </w:rPr>
      </w:pPr>
      <w:r>
        <w:rPr>
          <w:rFonts w:asciiTheme="minorHAnsi" w:hAnsiTheme="minorHAnsi" w:cstheme="minorHAnsi"/>
          <w:sz w:val="20"/>
          <w:szCs w:val="20"/>
        </w:rPr>
        <w:t>Numéro de registre national du déclarant :</w:t>
      </w:r>
    </w:p>
    <w:p>
      <w:pPr>
        <w:spacing w:line="360" w:lineRule="auto"/>
        <w:rPr>
          <w:rFonts w:asciiTheme="minorHAnsi" w:hAnsiTheme="minorHAnsi" w:cstheme="minorHAnsi"/>
          <w:sz w:val="20"/>
          <w:szCs w:val="20"/>
        </w:rPr>
      </w:pPr>
      <w:r>
        <w:rPr>
          <w:rFonts w:asciiTheme="minorHAnsi" w:hAnsiTheme="minorHAnsi" w:cstheme="minorHAnsi"/>
          <w:sz w:val="20"/>
          <w:szCs w:val="20"/>
        </w:rPr>
        <w:t>Nom de l’établissement :</w:t>
      </w:r>
    </w:p>
    <w:p>
      <w:pPr>
        <w:spacing w:line="360" w:lineRule="auto"/>
        <w:rPr>
          <w:rFonts w:asciiTheme="minorHAnsi" w:hAnsiTheme="minorHAnsi" w:cstheme="minorHAnsi"/>
          <w:sz w:val="20"/>
          <w:szCs w:val="20"/>
        </w:rPr>
      </w:pPr>
      <w:r>
        <w:rPr>
          <w:rFonts w:asciiTheme="minorHAnsi" w:hAnsiTheme="minorHAnsi" w:cstheme="minorHAnsi"/>
          <w:sz w:val="20"/>
          <w:szCs w:val="20"/>
        </w:rPr>
        <w:t>Adresse de l’établissement :</w:t>
      </w:r>
    </w:p>
    <w:p>
      <w:pPr>
        <w:spacing w:line="360" w:lineRule="auto"/>
        <w:rPr>
          <w:rFonts w:asciiTheme="minorHAnsi" w:hAnsiTheme="minorHAnsi" w:cstheme="minorHAnsi"/>
          <w:sz w:val="20"/>
          <w:szCs w:val="20"/>
        </w:rPr>
      </w:pPr>
      <w:r>
        <w:rPr>
          <w:rFonts w:asciiTheme="minorHAnsi" w:hAnsiTheme="minorHAnsi" w:cstheme="minorHAnsi"/>
          <w:sz w:val="20"/>
          <w:szCs w:val="20"/>
        </w:rPr>
        <w:t>Coordonnées bancaires du déclarant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IBAN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BIC :</w:t>
      </w:r>
    </w:p>
    <w:p>
      <w:pPr>
        <w:spacing w:line="360" w:lineRule="auto"/>
        <w:rPr>
          <w:rFonts w:asciiTheme="minorHAnsi" w:hAnsiTheme="minorHAnsi" w:cstheme="minorHAnsi"/>
          <w:sz w:val="20"/>
          <w:szCs w:val="20"/>
        </w:rPr>
      </w:pPr>
      <w:r>
        <w:rPr>
          <w:rFonts w:asciiTheme="minorHAnsi" w:hAnsiTheme="minorHAnsi" w:cstheme="minorHAnsi"/>
          <w:sz w:val="20"/>
          <w:szCs w:val="20"/>
        </w:rPr>
        <w:tab/>
        <w:t>Nom titulaire compte :</w:t>
      </w:r>
    </w:p>
    <w:p>
      <w:pPr>
        <w:spacing w:after="120" w:line="360" w:lineRule="auto"/>
        <w:rPr>
          <w:rFonts w:asciiTheme="minorHAnsi" w:hAnsiTheme="minorHAnsi" w:cstheme="minorHAnsi"/>
          <w:sz w:val="20"/>
          <w:szCs w:val="20"/>
        </w:rPr>
      </w:pPr>
      <w:r>
        <w:rPr>
          <w:rFonts w:asciiTheme="minorHAnsi" w:hAnsiTheme="minorHAnsi" w:cstheme="minorHAnsi"/>
          <w:sz w:val="20"/>
          <w:szCs w:val="20"/>
        </w:rPr>
        <w:tab/>
        <w:t>Adresse titulaire compte :</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882"/>
        <w:gridCol w:w="2812"/>
        <w:gridCol w:w="1620"/>
      </w:tblGrid>
      <w:tr>
        <w:tc>
          <w:tcPr>
            <w:tcW w:w="0" w:type="auto"/>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Dénomination justificatif</w:t>
            </w:r>
          </w:p>
        </w:tc>
        <w:tc>
          <w:tcPr>
            <w:tcW w:w="0" w:type="auto"/>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Montant TVAC</w:t>
            </w:r>
          </w:p>
        </w:tc>
        <w:tc>
          <w:tcPr>
            <w:tcW w:w="2812" w:type="dxa"/>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Code Formation</w:t>
            </w:r>
          </w:p>
        </w:tc>
        <w:tc>
          <w:tcPr>
            <w:tcW w:w="1620" w:type="dxa"/>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Justificatif n°</w:t>
            </w: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bl>
    <w:p>
      <w:pPr>
        <w:spacing w:before="360" w:line="480" w:lineRule="auto"/>
        <w:rPr>
          <w:rFonts w:asciiTheme="minorHAnsi" w:hAnsiTheme="minorHAnsi" w:cstheme="minorHAnsi"/>
          <w:sz w:val="20"/>
          <w:szCs w:val="20"/>
        </w:rPr>
      </w:pPr>
      <w:r>
        <w:rPr>
          <w:rFonts w:asciiTheme="minorHAnsi" w:hAnsiTheme="minorHAnsi" w:cstheme="minorHAnsi"/>
          <w:sz w:val="20"/>
          <w:szCs w:val="20"/>
        </w:rPr>
        <w:t xml:space="preserve">Le montant total des frais à rembourser TVAC s’élève à (écrire en toutes lettres) :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Montant à rembourser dans le cadre de la formation (intitulé)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 xml:space="preserve">Qui a eu lieu du                                          au             </w:t>
      </w:r>
    </w:p>
    <w:p>
      <w:pPr>
        <w:spacing w:before="120" w:line="360" w:lineRule="auto"/>
        <w:rPr>
          <w:rFonts w:asciiTheme="minorHAnsi" w:hAnsiTheme="minorHAnsi" w:cstheme="minorHAnsi"/>
          <w:sz w:val="20"/>
          <w:szCs w:val="20"/>
        </w:rPr>
      </w:pPr>
      <w:r>
        <w:rPr>
          <w:rFonts w:asciiTheme="minorHAnsi" w:hAnsiTheme="minorHAnsi" w:cstheme="minorHAnsi"/>
          <w:b/>
          <w:noProof/>
          <w:sz w:val="20"/>
          <w:szCs w:val="20"/>
          <w:u w:val="single"/>
          <w:lang w:eastAsia="fr-BE"/>
        </w:rPr>
        <mc:AlternateContent>
          <mc:Choice Requires="wps">
            <w:drawing>
              <wp:anchor distT="0" distB="0" distL="114300" distR="114300" simplePos="0" relativeHeight="251726848" behindDoc="0" locked="0" layoutInCell="1" allowOverlap="1">
                <wp:simplePos x="0" y="0"/>
                <wp:positionH relativeFrom="column">
                  <wp:posOffset>3590925</wp:posOffset>
                </wp:positionH>
                <wp:positionV relativeFrom="paragraph">
                  <wp:posOffset>284480</wp:posOffset>
                </wp:positionV>
                <wp:extent cx="1976755" cy="1822450"/>
                <wp:effectExtent l="13970" t="12700" r="9525" b="12700"/>
                <wp:wrapNone/>
                <wp:docPr id="118"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6755" cy="1822450"/>
                        </a:xfrm>
                        <a:prstGeom prst="rect">
                          <a:avLst/>
                        </a:prstGeom>
                        <a:solidFill>
                          <a:srgbClr val="FFFFFF"/>
                        </a:solidFill>
                        <a:ln w="9525">
                          <a:solidFill>
                            <a:srgbClr val="000000"/>
                          </a:solidFill>
                          <a:miter lim="800000"/>
                          <a:headEnd/>
                          <a:tailEnd/>
                        </a:ln>
                      </wps:spPr>
                      <wps:txbx>
                        <w:txbxContent>
                          <w:p>
                            <w:pPr>
                              <w:jc w:val="center"/>
                              <w:rPr>
                                <w:rFonts w:ascii="Calibri" w:hAnsi="Calibri" w:cs="Calibri"/>
                                <w:sz w:val="20"/>
                                <w:szCs w:val="20"/>
                              </w:rPr>
                            </w:pPr>
                            <w:r>
                              <w:rPr>
                                <w:rFonts w:ascii="Calibri" w:hAnsi="Calibri" w:cs="Calibri"/>
                                <w:b/>
                                <w:sz w:val="22"/>
                                <w:szCs w:val="22"/>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(signature + cachet)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202" style="position:absolute;margin-left:282.75pt;margin-top:22.4pt;width:155.65pt;height:143.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nshLwIAAFsEAAAOAAAAZHJzL2Uyb0RvYy54bWysVNuO0zAQfUfiHyy/0zRRs22jTVdLlyKk&#10;5SLt8gGO4yQWjsfYbpPy9YydtlQLvCDyYHns8ZmZc2Zyezf2ihyEdRJ0SdPZnBKhOdRStyX9+rx7&#10;s6LEeaZrpkCLkh6Fo3eb169uB1OIDDpQtbAEQbQrBlPSzntTJInjneiZm4ERGi8bsD3zaNo2qS0b&#10;EL1XSTaf3yQD2NpY4MI5PH2YLukm4jeN4P5z0zjhiSop5ubjauNahTXZ3LKitcx0kp/SYP+QRc+k&#10;xqAXqAfmGdlb+RtUL7kFB42fcegTaBrJRawBq0nnL6p56pgRsRYkx5kLTe7/wfJPhy+WyBq1S1Eq&#10;zXoU6VmMnryFkSzzQNBgXIF+TwY9/Yjn6ByLdeYR+DdHNGw7pltxby0MnWA1JpiGl8nV0wnHBZBq&#10;+Ag1xmF7DxFobGwf2EM+CKKjUMeLOCEXHkKulzfLPKeE4126yrJFHuVLWHF+bqzz7wX0JGxKalH9&#10;CM8Oj86HdFhxdgnRHChZ76RS0bBttVWWHBh2yi5+sYIXbkqToaTrPMsnBv4KMY/fnyB66bHllexL&#10;uro4sSLw9k7XsSE9k2raY8pKn4gM3E0s+rEao2iLsz4V1Edk1sLU4TiRuOnA/qBkwO4uqfu+Z1ZQ&#10;oj5oVGedLhZhHKKxyJcZGvb6prq+YZojVEk9JdN266cR2hsr2w4jTf2g4R4VbWTkOkg/ZXVKHzs4&#10;SnCatjAi13b0+vVP2PwEAAD//wMAUEsDBBQABgAIAAAAIQCpPPbh4AAAAAoBAAAPAAAAZHJzL2Rv&#10;d25yZXYueG1sTI/LTsMwEEX3SPyDNUhsEHVKHg0hkwohgWAHbQVbN3aTCD+C7abh7xlWsJvRHN05&#10;t17PRrNJ+TA4i7BcJMCUbZ0cbIew2z5el8BCFFYK7axC+FYB1s35WS0q6U72TU2b2DEKsaESCH2M&#10;Y8V5aHtlRFi4UVm6HZw3ItLqOy69OFG40fwmSQpuxGDpQy9G9dCr9nNzNAhl9jx9hJf09b0tDvo2&#10;Xq2mpy+PeHkx398Bi2qOfzD86pM6NOS0d0crA9MIeZHnhCJkGVUgoFwVNOwR0nRZAm9q/r9C8wMA&#10;AP//AwBQSwECLQAUAAYACAAAACEAtoM4kv4AAADhAQAAEwAAAAAAAAAAAAAAAAAAAAAAW0NvbnRl&#10;bnRfVHlwZXNdLnhtbFBLAQItABQABgAIAAAAIQA4/SH/1gAAAJQBAAALAAAAAAAAAAAAAAAAAC8B&#10;AABfcmVscy8ucmVsc1BLAQItABQABgAIAAAAIQAIznshLwIAAFsEAAAOAAAAAAAAAAAAAAAAAC4C&#10;AABkcnMvZTJvRG9jLnhtbFBLAQItABQABgAIAAAAIQCpPPbh4AAAAAoBAAAPAAAAAAAAAAAAAAAA&#10;AIkEAABkcnMvZG93bnJldi54bWxQSwUGAAAAAAQABADzAAAAlgUAAAAA&#10;">
                <v:textbox>
                  <w:txbxContent>
                    <w:p>
                      <w:pPr>
                        <w:jc w:val="center"/>
                        <w:rPr>
                          <w:rFonts w:ascii="Calibri" w:hAnsi="Calibri" w:cs="Calibri"/>
                          <w:sz w:val="20"/>
                          <w:szCs w:val="20"/>
                        </w:rPr>
                      </w:pPr>
                      <w:r>
                        <w:rPr>
                          <w:rFonts w:ascii="Calibri" w:hAnsi="Calibri" w:cs="Calibri"/>
                          <w:b/>
                          <w:sz w:val="22"/>
                          <w:szCs w:val="22"/>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w:t>
                      </w:r>
                      <w:proofErr w:type="gramStart"/>
                      <w:r>
                        <w:rPr>
                          <w:rFonts w:ascii="Calibri" w:hAnsi="Calibri" w:cs="Calibri"/>
                          <w:i/>
                          <w:sz w:val="20"/>
                          <w:szCs w:val="20"/>
                        </w:rPr>
                        <w:t>signature</w:t>
                      </w:r>
                      <w:proofErr w:type="gramEnd"/>
                      <w:r>
                        <w:rPr>
                          <w:rFonts w:ascii="Calibri" w:hAnsi="Calibri" w:cs="Calibri"/>
                          <w:i/>
                          <w:sz w:val="20"/>
                          <w:szCs w:val="20"/>
                        </w:rPr>
                        <w:t xml:space="preserve"> + cachet)</w:t>
                      </w:r>
                    </w:p>
                  </w:txbxContent>
                </v:textbox>
              </v:shape>
            </w:pict>
          </mc:Fallback>
        </mc:AlternateContent>
      </w:r>
      <w:r>
        <w:rPr>
          <w:rFonts w:asciiTheme="minorHAnsi" w:hAnsiTheme="minorHAnsi" w:cstheme="minorHAnsi"/>
          <w:sz w:val="20"/>
          <w:szCs w:val="20"/>
        </w:rPr>
        <w:t>Dans le Centre de Technologies Avancées (intitulé)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Certifié sincère et véritable en date du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Signature et cachet du déclarant :</w:t>
      </w:r>
    </w:p>
    <w:p>
      <w:pPr>
        <w:rPr>
          <w:rFonts w:asciiTheme="minorHAnsi" w:hAnsiTheme="minorHAnsi" w:cstheme="minorHAnsi"/>
          <w:b/>
          <w:sz w:val="20"/>
          <w:szCs w:val="20"/>
          <w:u w:val="single"/>
        </w:rPr>
      </w:pPr>
    </w:p>
    <w:p>
      <w:pPr>
        <w:rPr>
          <w:rFonts w:asciiTheme="minorHAnsi" w:hAnsiTheme="minorHAnsi" w:cstheme="minorHAnsi"/>
          <w:b/>
          <w:sz w:val="20"/>
          <w:szCs w:val="20"/>
          <w:u w:val="single"/>
        </w:rPr>
      </w:pPr>
    </w:p>
    <w:p>
      <w:pPr>
        <w:rPr>
          <w:rFonts w:asciiTheme="minorHAnsi" w:hAnsiTheme="minorHAnsi" w:cstheme="minorHAnsi"/>
          <w:b/>
          <w:sz w:val="16"/>
          <w:szCs w:val="16"/>
          <w:u w:val="single"/>
        </w:rPr>
      </w:pPr>
      <w:r>
        <w:rPr>
          <w:rFonts w:asciiTheme="minorHAnsi" w:hAnsiTheme="minorHAnsi" w:cstheme="minorHAnsi"/>
          <w:b/>
          <w:sz w:val="16"/>
          <w:szCs w:val="16"/>
          <w:u w:val="single"/>
        </w:rPr>
        <w:t>A transmettre à :</w:t>
      </w:r>
    </w:p>
    <w:p>
      <w:pPr>
        <w:rPr>
          <w:rFonts w:asciiTheme="minorHAnsi" w:hAnsiTheme="minorHAnsi" w:cstheme="minorHAnsi"/>
          <w:sz w:val="16"/>
          <w:szCs w:val="16"/>
        </w:rPr>
      </w:pPr>
      <w:r>
        <w:rPr>
          <w:rFonts w:asciiTheme="minorHAnsi" w:hAnsiTheme="minorHAnsi" w:cstheme="minorHAnsi"/>
          <w:sz w:val="16"/>
          <w:szCs w:val="16"/>
        </w:rPr>
        <w:t>Direction générale de l’Enseignement obligatoire</w:t>
      </w:r>
    </w:p>
    <w:p>
      <w:pPr>
        <w:rPr>
          <w:rFonts w:asciiTheme="minorHAnsi" w:hAnsiTheme="minorHAnsi" w:cstheme="minorHAnsi"/>
          <w:sz w:val="16"/>
          <w:szCs w:val="16"/>
        </w:rPr>
      </w:pPr>
      <w:r>
        <w:rPr>
          <w:rFonts w:asciiTheme="minorHAnsi" w:hAnsiTheme="minorHAnsi" w:cstheme="minorHAnsi"/>
          <w:sz w:val="16"/>
          <w:szCs w:val="16"/>
        </w:rPr>
        <w:t>Direction « Relations Ecoles-Monde du Travail »</w:t>
      </w:r>
    </w:p>
    <w:p>
      <w:pPr>
        <w:rPr>
          <w:rFonts w:asciiTheme="minorHAnsi" w:hAnsiTheme="minorHAnsi" w:cstheme="minorHAnsi"/>
          <w:sz w:val="16"/>
          <w:szCs w:val="16"/>
        </w:rPr>
      </w:pPr>
      <w:r>
        <w:rPr>
          <w:rFonts w:asciiTheme="minorHAnsi" w:hAnsiTheme="minorHAnsi" w:cstheme="minorHAnsi"/>
          <w:sz w:val="16"/>
          <w:szCs w:val="16"/>
        </w:rPr>
        <w:t>A l’attention de Madame Mélanie DE CLERFAYT</w:t>
      </w:r>
    </w:p>
    <w:p>
      <w:pPr>
        <w:rPr>
          <w:rFonts w:asciiTheme="minorHAnsi" w:hAnsiTheme="minorHAnsi" w:cstheme="minorHAnsi"/>
          <w:sz w:val="16"/>
          <w:szCs w:val="16"/>
        </w:rPr>
      </w:pPr>
      <w:r>
        <w:rPr>
          <w:rFonts w:asciiTheme="minorHAnsi" w:hAnsiTheme="minorHAnsi" w:cstheme="minorHAnsi"/>
          <w:sz w:val="16"/>
          <w:szCs w:val="16"/>
        </w:rPr>
        <w:t>Bureau 1F130</w:t>
      </w:r>
    </w:p>
    <w:p>
      <w:pPr>
        <w:rPr>
          <w:rFonts w:asciiTheme="minorHAnsi" w:hAnsiTheme="minorHAnsi" w:cstheme="minorHAnsi"/>
          <w:sz w:val="16"/>
          <w:szCs w:val="16"/>
        </w:rPr>
      </w:pPr>
      <w:r>
        <w:rPr>
          <w:rFonts w:asciiTheme="minorHAnsi" w:hAnsiTheme="minorHAnsi" w:cstheme="minorHAnsi"/>
          <w:sz w:val="16"/>
          <w:szCs w:val="16"/>
        </w:rPr>
        <w:t>Rue A. Lavallée, 1</w:t>
      </w:r>
    </w:p>
    <w:p>
      <w:pPr>
        <w:rPr>
          <w:rFonts w:asciiTheme="minorHAnsi" w:hAnsiTheme="minorHAnsi" w:cstheme="minorHAnsi"/>
          <w:sz w:val="16"/>
          <w:szCs w:val="16"/>
        </w:rPr>
      </w:pPr>
      <w:r>
        <w:rPr>
          <w:rFonts w:asciiTheme="minorHAnsi" w:hAnsiTheme="minorHAnsi" w:cstheme="minorHAnsi"/>
          <w:sz w:val="16"/>
          <w:szCs w:val="16"/>
        </w:rPr>
        <w:t>1080 – Bruxelles</w:t>
      </w:r>
    </w:p>
    <w:p>
      <w:pPr>
        <w:rPr>
          <w:rFonts w:asciiTheme="minorHAnsi" w:hAnsiTheme="minorHAnsi" w:cstheme="minorHAnsi"/>
          <w:sz w:val="12"/>
          <w:szCs w:val="12"/>
        </w:rPr>
      </w:pPr>
    </w:p>
    <w:p>
      <w:pPr>
        <w:spacing w:before="240" w:after="240"/>
        <w:jc w:val="both"/>
        <w:rPr>
          <w:rFonts w:ascii="Calibri" w:hAnsi="Calibri" w:cs="Calibri"/>
          <w:sz w:val="22"/>
          <w:szCs w:val="22"/>
        </w:rPr>
      </w:pPr>
      <w:r>
        <w:rPr>
          <w:rFonts w:asciiTheme="minorHAnsi" w:hAnsiTheme="minorHAnsi" w:cstheme="minorHAnsi"/>
          <w:i/>
          <w:sz w:val="18"/>
          <w:szCs w:val="18"/>
        </w:rPr>
        <w:t>Les justificatifs sont à annexer à la présente.</w:t>
      </w:r>
      <w:r>
        <w:rPr>
          <w:rFonts w:asciiTheme="minorHAnsi" w:hAnsiTheme="minorHAnsi" w:cstheme="minorHAnsi"/>
          <w:i/>
          <w:sz w:val="18"/>
          <w:szCs w:val="18"/>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12</w:t>
      </w:r>
    </w:p>
    <w:p>
      <w:pPr>
        <w:spacing w:before="240" w:after="240"/>
        <w:jc w:val="center"/>
        <w:rPr>
          <w:rFonts w:ascii="Calibri" w:hAnsi="Calibri" w:cs="Calibri"/>
          <w:b/>
          <w:sz w:val="36"/>
          <w:szCs w:val="36"/>
        </w:rPr>
      </w:pPr>
      <w:r>
        <w:rPr>
          <w:rFonts w:ascii="Calibri" w:hAnsi="Calibri" w:cs="Calibri"/>
          <w:b/>
          <w:sz w:val="36"/>
          <w:szCs w:val="36"/>
        </w:rPr>
        <w:t>Déclaration de créance pour le remboursement de frais d’hébergement occasionnés lors d’une formation suivie en CTA</w:t>
      </w:r>
    </w:p>
    <w:p>
      <w:pPr>
        <w:rPr>
          <w:rFonts w:asciiTheme="minorHAnsi" w:hAnsiTheme="minorHAnsi" w:cstheme="minorHAnsi"/>
          <w:i/>
          <w:sz w:val="18"/>
          <w:szCs w:val="18"/>
        </w:rPr>
      </w:pPr>
      <w:r>
        <w:rPr>
          <w:rFonts w:asciiTheme="minorHAnsi" w:hAnsiTheme="minorHAnsi" w:cstheme="minorHAnsi"/>
          <w:i/>
          <w:sz w:val="18"/>
          <w:szCs w:val="18"/>
        </w:rPr>
        <w:br w:type="page"/>
      </w:r>
    </w:p>
    <w:p>
      <w:pPr>
        <w:rPr>
          <w:rFonts w:asciiTheme="minorHAnsi" w:hAnsiTheme="minorHAnsi" w:cstheme="minorHAnsi"/>
          <w:i/>
          <w:sz w:val="18"/>
          <w:szCs w:val="18"/>
        </w:rPr>
      </w:pPr>
    </w:p>
    <w:p>
      <w:pPr>
        <w:ind w:left="2880"/>
        <w:jc w:val="center"/>
        <w:rPr>
          <w:rFonts w:asciiTheme="minorHAnsi" w:hAnsiTheme="minorHAnsi" w:cstheme="minorHAnsi"/>
          <w:b/>
          <w:sz w:val="20"/>
          <w:szCs w:val="20"/>
        </w:rPr>
      </w:pPr>
      <w:r>
        <w:rPr>
          <w:rFonts w:asciiTheme="minorHAnsi" w:hAnsiTheme="minorHAnsi" w:cstheme="minorHAnsi"/>
          <w:noProof/>
          <w:sz w:val="20"/>
          <w:szCs w:val="20"/>
          <w:lang w:eastAsia="fr-BE"/>
        </w:rPr>
        <w:drawing>
          <wp:anchor distT="0" distB="0" distL="114300" distR="114300" simplePos="0" relativeHeight="251730944" behindDoc="0" locked="0" layoutInCell="1" allowOverlap="1">
            <wp:simplePos x="0" y="0"/>
            <wp:positionH relativeFrom="column">
              <wp:posOffset>-19050</wp:posOffset>
            </wp:positionH>
            <wp:positionV relativeFrom="paragraph">
              <wp:posOffset>-253365</wp:posOffset>
            </wp:positionV>
            <wp:extent cx="1130400" cy="1080000"/>
            <wp:effectExtent l="0" t="0" r="0" b="6350"/>
            <wp:wrapNone/>
            <wp:docPr id="1021" name="Image 76" descr="FWB_QUADRI_VE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WB_QUADRI_VERTI"/>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400" cy="1080000"/>
                    </a:xfrm>
                    <a:prstGeom prst="rect">
                      <a:avLst/>
                    </a:prstGeom>
                    <a:noFill/>
                  </pic:spPr>
                </pic:pic>
              </a:graphicData>
            </a:graphic>
            <wp14:sizeRelH relativeFrom="page">
              <wp14:pctWidth>0</wp14:pctWidth>
            </wp14:sizeRelH>
            <wp14:sizeRelV relativeFrom="page">
              <wp14:pctHeight>0</wp14:pctHeight>
            </wp14:sizeRelV>
          </wp:anchor>
        </w:drawing>
      </w:r>
    </w:p>
    <w:p>
      <w:pPr>
        <w:pBdr>
          <w:top w:val="single" w:sz="4" w:space="1" w:color="auto"/>
          <w:left w:val="single" w:sz="4" w:space="4" w:color="auto"/>
          <w:bottom w:val="single" w:sz="4" w:space="1" w:color="auto"/>
          <w:right w:val="single" w:sz="4" w:space="4" w:color="auto"/>
        </w:pBdr>
        <w:ind w:left="2880"/>
        <w:jc w:val="center"/>
        <w:rPr>
          <w:rFonts w:asciiTheme="minorHAnsi" w:hAnsiTheme="minorHAnsi" w:cstheme="minorHAnsi"/>
          <w:b/>
          <w:sz w:val="20"/>
          <w:szCs w:val="20"/>
        </w:rPr>
      </w:pPr>
      <w:r>
        <w:rPr>
          <w:rFonts w:asciiTheme="minorHAnsi" w:hAnsiTheme="minorHAnsi" w:cstheme="minorHAnsi"/>
          <w:b/>
          <w:sz w:val="20"/>
          <w:szCs w:val="20"/>
        </w:rPr>
        <w:t xml:space="preserve">DECLARATION DE CREANCE POUR LE REMBOURSEMENT DE FRAIS </w:t>
      </w:r>
      <w:r>
        <w:rPr>
          <w:rFonts w:asciiTheme="minorHAnsi" w:hAnsiTheme="minorHAnsi" w:cstheme="minorHAnsi"/>
          <w:b/>
          <w:caps/>
          <w:sz w:val="20"/>
          <w:szCs w:val="20"/>
        </w:rPr>
        <w:t>D’hebergement</w:t>
      </w:r>
      <w:r>
        <w:rPr>
          <w:rFonts w:asciiTheme="minorHAnsi" w:hAnsiTheme="minorHAnsi" w:cstheme="minorHAnsi"/>
          <w:b/>
          <w:sz w:val="20"/>
          <w:szCs w:val="20"/>
        </w:rPr>
        <w:t xml:space="preserve"> </w:t>
      </w:r>
      <w:r>
        <w:rPr>
          <w:rFonts w:asciiTheme="minorHAnsi" w:hAnsiTheme="minorHAnsi" w:cstheme="minorHAnsi"/>
          <w:b/>
          <w:caps/>
          <w:sz w:val="20"/>
          <w:szCs w:val="20"/>
        </w:rPr>
        <w:t>occasionnés</w:t>
      </w:r>
      <w:r>
        <w:rPr>
          <w:rFonts w:asciiTheme="minorHAnsi" w:hAnsiTheme="minorHAnsi" w:cstheme="minorHAnsi"/>
          <w:b/>
          <w:sz w:val="20"/>
          <w:szCs w:val="20"/>
        </w:rPr>
        <w:t xml:space="preserve"> </w:t>
      </w:r>
      <w:r>
        <w:rPr>
          <w:rFonts w:asciiTheme="minorHAnsi" w:hAnsiTheme="minorHAnsi" w:cstheme="minorHAnsi"/>
          <w:b/>
          <w:caps/>
          <w:sz w:val="20"/>
          <w:szCs w:val="20"/>
        </w:rPr>
        <w:t>lors d’une</w:t>
      </w:r>
      <w:r>
        <w:rPr>
          <w:rFonts w:asciiTheme="minorHAnsi" w:hAnsiTheme="minorHAnsi" w:cstheme="minorHAnsi"/>
          <w:b/>
          <w:sz w:val="20"/>
          <w:szCs w:val="20"/>
        </w:rPr>
        <w:t xml:space="preserve"> FORMATION SUIVIE EN CTA </w:t>
      </w:r>
    </w:p>
    <w:p>
      <w:pPr>
        <w:ind w:left="2880"/>
        <w:rPr>
          <w:rFonts w:asciiTheme="minorHAnsi" w:hAnsiTheme="minorHAnsi" w:cstheme="minorHAnsi"/>
          <w:sz w:val="20"/>
          <w:szCs w:val="20"/>
        </w:rPr>
      </w:pPr>
    </w:p>
    <w:p>
      <w:pPr>
        <w:rPr>
          <w:rFonts w:asciiTheme="minorHAnsi" w:hAnsiTheme="minorHAnsi" w:cstheme="minorHAnsi"/>
          <w:sz w:val="20"/>
          <w:szCs w:val="20"/>
        </w:rPr>
      </w:pPr>
    </w:p>
    <w:p>
      <w:pPr>
        <w:rPr>
          <w:rFonts w:asciiTheme="minorHAnsi" w:hAnsiTheme="minorHAnsi" w:cstheme="minorHAnsi"/>
          <w:sz w:val="20"/>
          <w:szCs w:val="20"/>
        </w:rPr>
      </w:pPr>
    </w:p>
    <w:p>
      <w:pPr>
        <w:spacing w:line="360" w:lineRule="auto"/>
        <w:rPr>
          <w:rFonts w:asciiTheme="minorHAnsi" w:hAnsiTheme="minorHAnsi" w:cstheme="minorHAnsi"/>
          <w:sz w:val="20"/>
          <w:szCs w:val="20"/>
        </w:rPr>
      </w:pPr>
      <w:r>
        <w:rPr>
          <w:rFonts w:asciiTheme="minorHAnsi" w:hAnsiTheme="minorHAnsi" w:cstheme="minorHAnsi"/>
          <w:sz w:val="20"/>
          <w:szCs w:val="20"/>
        </w:rPr>
        <w:t>Nom, prénom et fonction du déclarant :</w:t>
      </w:r>
    </w:p>
    <w:p>
      <w:pPr>
        <w:spacing w:line="360" w:lineRule="auto"/>
        <w:rPr>
          <w:rFonts w:asciiTheme="minorHAnsi" w:hAnsiTheme="minorHAnsi" w:cstheme="minorHAnsi"/>
          <w:sz w:val="20"/>
          <w:szCs w:val="20"/>
        </w:rPr>
      </w:pPr>
      <w:r>
        <w:rPr>
          <w:rFonts w:asciiTheme="minorHAnsi" w:hAnsiTheme="minorHAnsi" w:cstheme="minorHAnsi"/>
          <w:sz w:val="20"/>
          <w:szCs w:val="20"/>
        </w:rPr>
        <w:t>Nom de l’établissement :</w:t>
      </w:r>
    </w:p>
    <w:p>
      <w:pPr>
        <w:spacing w:line="360" w:lineRule="auto"/>
        <w:rPr>
          <w:rFonts w:asciiTheme="minorHAnsi" w:hAnsiTheme="minorHAnsi" w:cstheme="minorHAnsi"/>
          <w:sz w:val="20"/>
          <w:szCs w:val="20"/>
        </w:rPr>
      </w:pPr>
      <w:r>
        <w:rPr>
          <w:rFonts w:asciiTheme="minorHAnsi" w:hAnsiTheme="minorHAnsi" w:cstheme="minorHAnsi"/>
          <w:sz w:val="20"/>
          <w:szCs w:val="20"/>
        </w:rPr>
        <w:t>Adresse de l’établissement :</w:t>
      </w:r>
    </w:p>
    <w:p>
      <w:pPr>
        <w:spacing w:line="360" w:lineRule="auto"/>
        <w:rPr>
          <w:rFonts w:asciiTheme="minorHAnsi" w:hAnsiTheme="minorHAnsi" w:cstheme="minorHAnsi"/>
          <w:sz w:val="20"/>
          <w:szCs w:val="20"/>
        </w:rPr>
      </w:pPr>
      <w:r>
        <w:rPr>
          <w:rFonts w:asciiTheme="minorHAnsi" w:hAnsiTheme="minorHAnsi" w:cstheme="minorHAnsi"/>
          <w:sz w:val="20"/>
          <w:szCs w:val="20"/>
        </w:rPr>
        <w:t>Coordonnées bancaires du déclarant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IBAN :</w:t>
      </w:r>
    </w:p>
    <w:p>
      <w:pPr>
        <w:spacing w:line="360" w:lineRule="auto"/>
        <w:rPr>
          <w:rFonts w:asciiTheme="minorHAnsi" w:hAnsiTheme="minorHAnsi" w:cstheme="minorHAnsi"/>
          <w:sz w:val="20"/>
          <w:szCs w:val="20"/>
        </w:rPr>
      </w:pPr>
      <w:r>
        <w:rPr>
          <w:rFonts w:asciiTheme="minorHAnsi" w:hAnsiTheme="minorHAnsi" w:cstheme="minorHAnsi"/>
          <w:sz w:val="20"/>
          <w:szCs w:val="20"/>
        </w:rPr>
        <w:tab/>
        <w:t>Code BIC :</w:t>
      </w:r>
    </w:p>
    <w:p>
      <w:pPr>
        <w:spacing w:line="360" w:lineRule="auto"/>
        <w:rPr>
          <w:rFonts w:asciiTheme="minorHAnsi" w:hAnsiTheme="minorHAnsi" w:cstheme="minorHAnsi"/>
          <w:sz w:val="20"/>
          <w:szCs w:val="20"/>
        </w:rPr>
      </w:pPr>
      <w:r>
        <w:rPr>
          <w:rFonts w:asciiTheme="minorHAnsi" w:hAnsiTheme="minorHAnsi" w:cstheme="minorHAnsi"/>
          <w:sz w:val="20"/>
          <w:szCs w:val="20"/>
        </w:rPr>
        <w:tab/>
        <w:t>Nom titulaire compte :</w:t>
      </w:r>
    </w:p>
    <w:p>
      <w:pPr>
        <w:spacing w:after="120" w:line="360" w:lineRule="auto"/>
        <w:rPr>
          <w:rFonts w:asciiTheme="minorHAnsi" w:hAnsiTheme="minorHAnsi" w:cstheme="minorHAnsi"/>
          <w:sz w:val="20"/>
          <w:szCs w:val="20"/>
        </w:rPr>
      </w:pPr>
      <w:r>
        <w:rPr>
          <w:rFonts w:asciiTheme="minorHAnsi" w:hAnsiTheme="minorHAnsi" w:cstheme="minorHAnsi"/>
          <w:sz w:val="20"/>
          <w:szCs w:val="20"/>
        </w:rPr>
        <w:tab/>
        <w:t>Adresse titulaire compte :</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1"/>
        <w:gridCol w:w="1645"/>
        <w:gridCol w:w="2812"/>
        <w:gridCol w:w="1620"/>
      </w:tblGrid>
      <w:tr>
        <w:tc>
          <w:tcPr>
            <w:tcW w:w="0" w:type="auto"/>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Nbre de personnes hébergées :</w:t>
            </w:r>
          </w:p>
        </w:tc>
        <w:tc>
          <w:tcPr>
            <w:tcW w:w="0" w:type="auto"/>
            <w:vAlign w:val="center"/>
          </w:tcPr>
          <w:p>
            <w:pPr>
              <w:spacing w:before="120" w:after="120"/>
              <w:jc w:val="center"/>
              <w:rPr>
                <w:rFonts w:asciiTheme="minorHAnsi" w:hAnsiTheme="minorHAnsi" w:cstheme="minorHAnsi"/>
                <w:sz w:val="20"/>
                <w:szCs w:val="20"/>
              </w:rPr>
            </w:pPr>
          </w:p>
        </w:tc>
        <w:tc>
          <w:tcPr>
            <w:tcW w:w="2812" w:type="dxa"/>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Nbre de nuitées :</w:t>
            </w:r>
          </w:p>
        </w:tc>
        <w:tc>
          <w:tcPr>
            <w:tcW w:w="1620" w:type="dxa"/>
            <w:vAlign w:val="center"/>
          </w:tcPr>
          <w:p>
            <w:pPr>
              <w:spacing w:before="120" w:after="120"/>
              <w:jc w:val="center"/>
              <w:rPr>
                <w:rFonts w:asciiTheme="minorHAnsi" w:hAnsiTheme="minorHAnsi" w:cstheme="minorHAnsi"/>
                <w:sz w:val="20"/>
                <w:szCs w:val="20"/>
              </w:rPr>
            </w:pPr>
          </w:p>
        </w:tc>
      </w:tr>
      <w:tr>
        <w:tc>
          <w:tcPr>
            <w:tcW w:w="0" w:type="auto"/>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Dénomination justificatif</w:t>
            </w:r>
          </w:p>
        </w:tc>
        <w:tc>
          <w:tcPr>
            <w:tcW w:w="0" w:type="auto"/>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Montant TVAC</w:t>
            </w:r>
          </w:p>
        </w:tc>
        <w:tc>
          <w:tcPr>
            <w:tcW w:w="2812" w:type="dxa"/>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Code Formation</w:t>
            </w:r>
          </w:p>
        </w:tc>
        <w:tc>
          <w:tcPr>
            <w:tcW w:w="1620" w:type="dxa"/>
            <w:vAlign w:val="center"/>
          </w:tcPr>
          <w:p>
            <w:pPr>
              <w:spacing w:before="120" w:after="120"/>
              <w:jc w:val="center"/>
              <w:rPr>
                <w:rFonts w:asciiTheme="minorHAnsi" w:hAnsiTheme="minorHAnsi" w:cstheme="minorHAnsi"/>
                <w:sz w:val="20"/>
                <w:szCs w:val="20"/>
              </w:rPr>
            </w:pPr>
            <w:r>
              <w:rPr>
                <w:rFonts w:asciiTheme="minorHAnsi" w:hAnsiTheme="minorHAnsi" w:cstheme="minorHAnsi"/>
                <w:sz w:val="20"/>
                <w:szCs w:val="20"/>
              </w:rPr>
              <w:t>Justificatif n°</w:t>
            </w: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r>
        <w:tc>
          <w:tcPr>
            <w:tcW w:w="0" w:type="auto"/>
          </w:tcPr>
          <w:p>
            <w:pPr>
              <w:spacing w:before="120" w:after="120"/>
              <w:rPr>
                <w:rFonts w:asciiTheme="minorHAnsi" w:hAnsiTheme="minorHAnsi" w:cstheme="minorHAnsi"/>
                <w:sz w:val="20"/>
                <w:szCs w:val="20"/>
              </w:rPr>
            </w:pPr>
          </w:p>
        </w:tc>
        <w:tc>
          <w:tcPr>
            <w:tcW w:w="0" w:type="auto"/>
          </w:tcPr>
          <w:p>
            <w:pPr>
              <w:spacing w:before="120" w:after="120"/>
              <w:rPr>
                <w:rFonts w:asciiTheme="minorHAnsi" w:hAnsiTheme="minorHAnsi" w:cstheme="minorHAnsi"/>
                <w:sz w:val="20"/>
                <w:szCs w:val="20"/>
              </w:rPr>
            </w:pPr>
          </w:p>
        </w:tc>
        <w:tc>
          <w:tcPr>
            <w:tcW w:w="2812" w:type="dxa"/>
          </w:tcPr>
          <w:p>
            <w:pPr>
              <w:spacing w:before="120" w:after="120"/>
              <w:rPr>
                <w:rFonts w:asciiTheme="minorHAnsi" w:hAnsiTheme="minorHAnsi" w:cstheme="minorHAnsi"/>
                <w:sz w:val="20"/>
                <w:szCs w:val="20"/>
              </w:rPr>
            </w:pPr>
          </w:p>
        </w:tc>
        <w:tc>
          <w:tcPr>
            <w:tcW w:w="1620" w:type="dxa"/>
          </w:tcPr>
          <w:p>
            <w:pPr>
              <w:spacing w:before="120" w:after="120"/>
              <w:rPr>
                <w:rFonts w:asciiTheme="minorHAnsi" w:hAnsiTheme="minorHAnsi" w:cstheme="minorHAnsi"/>
                <w:sz w:val="20"/>
                <w:szCs w:val="20"/>
              </w:rPr>
            </w:pPr>
          </w:p>
        </w:tc>
      </w:tr>
    </w:tbl>
    <w:p>
      <w:pPr>
        <w:spacing w:before="360"/>
        <w:jc w:val="both"/>
        <w:rPr>
          <w:rFonts w:asciiTheme="minorHAnsi" w:hAnsiTheme="minorHAnsi" w:cstheme="minorHAnsi"/>
          <w:i/>
          <w:sz w:val="18"/>
          <w:szCs w:val="18"/>
        </w:rPr>
      </w:pPr>
      <w:r>
        <w:rPr>
          <w:rFonts w:asciiTheme="minorHAnsi" w:hAnsiTheme="minorHAnsi" w:cstheme="minorHAnsi"/>
          <w:i/>
          <w:sz w:val="18"/>
          <w:szCs w:val="18"/>
        </w:rPr>
        <w:t xml:space="preserve">Pour rappel, </w:t>
      </w:r>
      <w:r>
        <w:rPr>
          <w:rFonts w:ascii="Calibri" w:hAnsi="Calibri" w:cs="Calibri"/>
          <w:i/>
          <w:sz w:val="18"/>
          <w:szCs w:val="18"/>
        </w:rPr>
        <w:t>les frais d'hébergement seront remboursés par la Fédération Wallonie-Bruxelles à concurrence de 25 € maximum par personne et par nuit. Aucun frais lié aux repas ne sera remboursé.</w:t>
      </w:r>
    </w:p>
    <w:p>
      <w:pPr>
        <w:spacing w:before="360" w:line="480" w:lineRule="auto"/>
        <w:rPr>
          <w:rFonts w:asciiTheme="minorHAnsi" w:hAnsiTheme="minorHAnsi" w:cstheme="minorHAnsi"/>
          <w:sz w:val="20"/>
          <w:szCs w:val="20"/>
        </w:rPr>
      </w:pPr>
      <w:r>
        <w:rPr>
          <w:rFonts w:asciiTheme="minorHAnsi" w:hAnsiTheme="minorHAnsi" w:cstheme="minorHAnsi"/>
          <w:sz w:val="20"/>
          <w:szCs w:val="20"/>
        </w:rPr>
        <w:t xml:space="preserve">Le montant total des frais à rembourser TVAC s’élève à (écrire en toutes lettres) :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Montant à rembourser dans le cadre de la formation (intitulé)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 xml:space="preserve">Qui a eu lieu du                                          au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Dans le Centre de Technologies Avancées (intitulé) :</w:t>
      </w:r>
    </w:p>
    <w:p>
      <w:pPr>
        <w:spacing w:before="120" w:line="360" w:lineRule="auto"/>
        <w:rPr>
          <w:rFonts w:asciiTheme="minorHAnsi" w:hAnsiTheme="minorHAnsi" w:cstheme="minorHAnsi"/>
          <w:sz w:val="20"/>
          <w:szCs w:val="20"/>
        </w:rPr>
      </w:pPr>
      <w:r>
        <w:rPr>
          <w:rFonts w:asciiTheme="minorHAnsi" w:hAnsiTheme="minorHAnsi" w:cstheme="minorHAnsi"/>
          <w:b/>
          <w:noProof/>
          <w:sz w:val="20"/>
          <w:szCs w:val="20"/>
          <w:u w:val="single"/>
          <w:lang w:eastAsia="fr-BE"/>
        </w:rPr>
        <mc:AlternateContent>
          <mc:Choice Requires="wps">
            <w:drawing>
              <wp:anchor distT="0" distB="0" distL="114300" distR="114300" simplePos="0" relativeHeight="251729920" behindDoc="0" locked="0" layoutInCell="1" allowOverlap="1">
                <wp:simplePos x="0" y="0"/>
                <wp:positionH relativeFrom="column">
                  <wp:posOffset>3604715</wp:posOffset>
                </wp:positionH>
                <wp:positionV relativeFrom="paragraph">
                  <wp:posOffset>4426</wp:posOffset>
                </wp:positionV>
                <wp:extent cx="1976755" cy="1822450"/>
                <wp:effectExtent l="13970" t="12700" r="9525" b="12700"/>
                <wp:wrapNone/>
                <wp:docPr id="1020"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6755" cy="1822450"/>
                        </a:xfrm>
                        <a:prstGeom prst="rect">
                          <a:avLst/>
                        </a:prstGeom>
                        <a:solidFill>
                          <a:srgbClr val="FFFFFF"/>
                        </a:solidFill>
                        <a:ln w="9525">
                          <a:solidFill>
                            <a:srgbClr val="000000"/>
                          </a:solidFill>
                          <a:miter lim="800000"/>
                          <a:headEnd/>
                          <a:tailEnd/>
                        </a:ln>
                      </wps:spPr>
                      <wps:txbx>
                        <w:txbxContent>
                          <w:p>
                            <w:pPr>
                              <w:jc w:val="center"/>
                              <w:rPr>
                                <w:rFonts w:ascii="Calibri" w:hAnsi="Calibri" w:cs="Calibri"/>
                                <w:sz w:val="20"/>
                                <w:szCs w:val="20"/>
                              </w:rPr>
                            </w:pPr>
                            <w:r>
                              <w:rPr>
                                <w:rFonts w:ascii="Calibri" w:hAnsi="Calibri" w:cs="Calibri"/>
                                <w:b/>
                                <w:sz w:val="22"/>
                                <w:szCs w:val="22"/>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(signature + cachet)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margin-left:283.85pt;margin-top:.35pt;width:155.65pt;height:143.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ppcLwIAAFwEAAAOAAAAZHJzL2Uyb0RvYy54bWysVNuO0zAQfUfiHyy/06RRs22jpqulSxHS&#10;cpF2+QDHcRILx2Nst0n5esZOt1QLvCDyYNme8ZmZc2ayuR17RY7COgm6pPNZSonQHGqp25J+fdq/&#10;WVHiPNM1U6BFSU/C0dvt61ebwRQigw5ULSxBEO2KwZS0894USeJ4J3rmZmCERmMDtmcej7ZNassG&#10;RO9VkqXpTTKArY0FLpzD2/vJSLcRv2kE95+bxglPVEkxNx9XG9cqrMl2w4rWMtNJfk6D/UMWPZMa&#10;g16g7pln5GDlb1C95BYcNH7GoU+gaSQXsQasZp6+qOaxY0bEWpAcZy40uf8Hyz8dv1gia9QuzZAg&#10;zXpU6UmMnryFkSzzwNBgXIGOjwZd/Yj36B2rdeYB+DdHNOw6pltxZy0MnWA1ZjgPL5OrpxOOCyDV&#10;8BFqjMMOHiLQ2Ng+0IeEEETHRE4XdUIuPIRcL2+WeU4JR9t8lWWLPOqXsOL5ubHOvxfQk7ApqUX5&#10;Izw7Pjgf0mHFs0uI5kDJei+VigfbVjtlyZFhq+zjFyt44aY0GUq6zrN8YuCvEGn8/gTRS489r2Rf&#10;0tXFiRWBt3e6jh3pmVTTHlNW+kxk4G5i0Y/VGFW76FNBfUJmLUwtjiOJmw7sD0oGbO+Suu8HZgUl&#10;6oNGddbzxSLMQzws8mXQ3l5bqmsL0xyhSuopmbY7P83QwVjZdhhp6gcNd6hoIyPXQfopq3P62MJR&#10;gvO4hRm5PkevXz+F7U8AAAD//wMAUEsDBBQABgAIAAAAIQCKuf2h3gAAAAgBAAAPAAAAZHJzL2Rv&#10;d25yZXYueG1sTI9BT8MwDIXvSPyHyEhcEEsZ0Hal6YSQQHCDgeCaNV5bkTglybry7zEnuFiy39Pz&#10;9+r17KyYMMTBk4KLRQYCqfVmoE7B2+v9eQkiJk1GW0+o4BsjrJvjo1pXxh/oBadN6gSHUKy0gj6l&#10;sZIytj06HRd+RGJt54PTidfQSRP0gcOdlcssy6XTA/GHXo9412P7udk7BeXV4/QRny6f39t8Z1fp&#10;rJgevoJSpyfz7Q2IhHP6M8MvPqNDw0xbvycThVVwnRcFWxXwZLksVlxtq2BZ8l02tfxfoPkBAAD/&#10;/wMAUEsBAi0AFAAGAAgAAAAhALaDOJL+AAAA4QEAABMAAAAAAAAAAAAAAAAAAAAAAFtDb250ZW50&#10;X1R5cGVzXS54bWxQSwECLQAUAAYACAAAACEAOP0h/9YAAACUAQAACwAAAAAAAAAAAAAAAAAvAQAA&#10;X3JlbHMvLnJlbHNQSwECLQAUAAYACAAAACEArvaaXC8CAABcBAAADgAAAAAAAAAAAAAAAAAuAgAA&#10;ZHJzL2Uyb0RvYy54bWxQSwECLQAUAAYACAAAACEAirn9od4AAAAIAQAADwAAAAAAAAAAAAAAAACJ&#10;BAAAZHJzL2Rvd25yZXYueG1sUEsFBgAAAAAEAAQA8wAAAJQFAAAAAA==&#10;">
                <v:textbox>
                  <w:txbxContent>
                    <w:p>
                      <w:pPr>
                        <w:jc w:val="center"/>
                        <w:rPr>
                          <w:rFonts w:ascii="Calibri" w:hAnsi="Calibri" w:cs="Calibri"/>
                          <w:sz w:val="20"/>
                          <w:szCs w:val="20"/>
                        </w:rPr>
                      </w:pPr>
                      <w:r>
                        <w:rPr>
                          <w:rFonts w:ascii="Calibri" w:hAnsi="Calibri" w:cs="Calibri"/>
                          <w:b/>
                          <w:sz w:val="22"/>
                          <w:szCs w:val="22"/>
                        </w:rPr>
                        <w:t>Pour approbation</w:t>
                      </w:r>
                      <w:r>
                        <w:rPr>
                          <w:rFonts w:ascii="Calibri" w:hAnsi="Calibri" w:cs="Calibri"/>
                          <w:sz w:val="20"/>
                          <w:szCs w:val="20"/>
                        </w:rPr>
                        <w:t>,</w:t>
                      </w:r>
                    </w:p>
                    <w:p>
                      <w:pPr>
                        <w:jc w:val="center"/>
                        <w:rPr>
                          <w:rFonts w:ascii="Calibri" w:hAnsi="Calibri" w:cs="Calibri"/>
                          <w:sz w:val="20"/>
                          <w:szCs w:val="20"/>
                        </w:rPr>
                      </w:pPr>
                      <w:r>
                        <w:rPr>
                          <w:rFonts w:ascii="Calibri" w:hAnsi="Calibri" w:cs="Calibri"/>
                          <w:sz w:val="20"/>
                          <w:szCs w:val="20"/>
                        </w:rPr>
                        <w:t>Le coordonnateur du CTA</w:t>
                      </w:r>
                    </w:p>
                    <w:p>
                      <w:pPr>
                        <w:jc w:val="center"/>
                        <w:rPr>
                          <w:rFonts w:ascii="Calibri" w:hAnsi="Calibri" w:cs="Calibri"/>
                          <w:i/>
                          <w:sz w:val="20"/>
                          <w:szCs w:val="20"/>
                        </w:rPr>
                      </w:pPr>
                      <w:r>
                        <w:rPr>
                          <w:rFonts w:ascii="Calibri" w:hAnsi="Calibri" w:cs="Calibri"/>
                          <w:i/>
                          <w:sz w:val="20"/>
                          <w:szCs w:val="20"/>
                        </w:rPr>
                        <w:t>(</w:t>
                      </w:r>
                      <w:proofErr w:type="gramStart"/>
                      <w:r>
                        <w:rPr>
                          <w:rFonts w:ascii="Calibri" w:hAnsi="Calibri" w:cs="Calibri"/>
                          <w:i/>
                          <w:sz w:val="20"/>
                          <w:szCs w:val="20"/>
                        </w:rPr>
                        <w:t>signature</w:t>
                      </w:r>
                      <w:proofErr w:type="gramEnd"/>
                      <w:r>
                        <w:rPr>
                          <w:rFonts w:ascii="Calibri" w:hAnsi="Calibri" w:cs="Calibri"/>
                          <w:i/>
                          <w:sz w:val="20"/>
                          <w:szCs w:val="20"/>
                        </w:rPr>
                        <w:t xml:space="preserve"> + cachet)</w:t>
                      </w:r>
                    </w:p>
                  </w:txbxContent>
                </v:textbox>
              </v:shape>
            </w:pict>
          </mc:Fallback>
        </mc:AlternateContent>
      </w:r>
      <w:r>
        <w:rPr>
          <w:rFonts w:asciiTheme="minorHAnsi" w:hAnsiTheme="minorHAnsi" w:cstheme="minorHAnsi"/>
          <w:sz w:val="20"/>
          <w:szCs w:val="20"/>
        </w:rPr>
        <w:t>Certifié sincère et véritable en date du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Signature et cachet du déclarant :</w:t>
      </w:r>
    </w:p>
    <w:p>
      <w:pPr>
        <w:rPr>
          <w:rFonts w:asciiTheme="minorHAnsi" w:hAnsiTheme="minorHAnsi" w:cstheme="minorHAnsi"/>
          <w:b/>
          <w:sz w:val="20"/>
          <w:szCs w:val="20"/>
          <w:u w:val="single"/>
        </w:rPr>
      </w:pPr>
    </w:p>
    <w:p>
      <w:pPr>
        <w:rPr>
          <w:rFonts w:asciiTheme="minorHAnsi" w:hAnsiTheme="minorHAnsi" w:cstheme="minorHAnsi"/>
          <w:b/>
          <w:sz w:val="20"/>
          <w:szCs w:val="20"/>
          <w:u w:val="single"/>
        </w:rPr>
      </w:pPr>
    </w:p>
    <w:p>
      <w:pPr>
        <w:rPr>
          <w:rFonts w:asciiTheme="minorHAnsi" w:hAnsiTheme="minorHAnsi" w:cstheme="minorHAnsi"/>
          <w:b/>
          <w:sz w:val="16"/>
          <w:szCs w:val="16"/>
          <w:u w:val="single"/>
        </w:rPr>
      </w:pPr>
      <w:r>
        <w:rPr>
          <w:rFonts w:asciiTheme="minorHAnsi" w:hAnsiTheme="minorHAnsi" w:cstheme="minorHAnsi"/>
          <w:b/>
          <w:sz w:val="16"/>
          <w:szCs w:val="16"/>
          <w:u w:val="single"/>
        </w:rPr>
        <w:t>A transmettre à :</w:t>
      </w:r>
    </w:p>
    <w:p>
      <w:pPr>
        <w:rPr>
          <w:rFonts w:asciiTheme="minorHAnsi" w:hAnsiTheme="minorHAnsi" w:cstheme="minorHAnsi"/>
          <w:sz w:val="16"/>
          <w:szCs w:val="16"/>
        </w:rPr>
      </w:pPr>
      <w:r>
        <w:rPr>
          <w:rFonts w:asciiTheme="minorHAnsi" w:hAnsiTheme="minorHAnsi" w:cstheme="minorHAnsi"/>
          <w:sz w:val="16"/>
          <w:szCs w:val="16"/>
        </w:rPr>
        <w:t>Direction générale de l’Enseignement obligatoire</w:t>
      </w:r>
    </w:p>
    <w:p>
      <w:pPr>
        <w:rPr>
          <w:rFonts w:asciiTheme="minorHAnsi" w:hAnsiTheme="minorHAnsi" w:cstheme="minorHAnsi"/>
          <w:sz w:val="16"/>
          <w:szCs w:val="16"/>
        </w:rPr>
      </w:pPr>
      <w:r>
        <w:rPr>
          <w:rFonts w:asciiTheme="minorHAnsi" w:hAnsiTheme="minorHAnsi" w:cstheme="minorHAnsi"/>
          <w:sz w:val="16"/>
          <w:szCs w:val="16"/>
        </w:rPr>
        <w:t>Direction « Relations Ecoles-Monde du Travail »</w:t>
      </w:r>
    </w:p>
    <w:p>
      <w:pPr>
        <w:rPr>
          <w:rFonts w:asciiTheme="minorHAnsi" w:hAnsiTheme="minorHAnsi" w:cstheme="minorHAnsi"/>
          <w:sz w:val="16"/>
          <w:szCs w:val="16"/>
        </w:rPr>
      </w:pPr>
      <w:r>
        <w:rPr>
          <w:rFonts w:asciiTheme="minorHAnsi" w:hAnsiTheme="minorHAnsi" w:cstheme="minorHAnsi"/>
          <w:sz w:val="16"/>
          <w:szCs w:val="16"/>
        </w:rPr>
        <w:t>A l’attention de Madame Mélanie DE CLERFAYT</w:t>
      </w:r>
    </w:p>
    <w:p>
      <w:pPr>
        <w:rPr>
          <w:rFonts w:asciiTheme="minorHAnsi" w:hAnsiTheme="minorHAnsi" w:cstheme="minorHAnsi"/>
          <w:sz w:val="16"/>
          <w:szCs w:val="16"/>
        </w:rPr>
      </w:pPr>
      <w:r>
        <w:rPr>
          <w:rFonts w:asciiTheme="minorHAnsi" w:hAnsiTheme="minorHAnsi" w:cstheme="minorHAnsi"/>
          <w:sz w:val="16"/>
          <w:szCs w:val="16"/>
        </w:rPr>
        <w:t>Bureau 1F130</w:t>
      </w:r>
    </w:p>
    <w:p>
      <w:pPr>
        <w:rPr>
          <w:rFonts w:asciiTheme="minorHAnsi" w:hAnsiTheme="minorHAnsi" w:cstheme="minorHAnsi"/>
          <w:sz w:val="16"/>
          <w:szCs w:val="16"/>
        </w:rPr>
      </w:pPr>
      <w:r>
        <w:rPr>
          <w:rFonts w:asciiTheme="minorHAnsi" w:hAnsiTheme="minorHAnsi" w:cstheme="minorHAnsi"/>
          <w:sz w:val="16"/>
          <w:szCs w:val="16"/>
        </w:rPr>
        <w:t>Rue A. Lavallée, 1</w:t>
      </w:r>
    </w:p>
    <w:p>
      <w:pPr>
        <w:rPr>
          <w:rFonts w:asciiTheme="minorHAnsi" w:hAnsiTheme="minorHAnsi" w:cstheme="minorHAnsi"/>
          <w:sz w:val="16"/>
          <w:szCs w:val="16"/>
        </w:rPr>
      </w:pPr>
      <w:r>
        <w:rPr>
          <w:rFonts w:asciiTheme="minorHAnsi" w:hAnsiTheme="minorHAnsi" w:cstheme="minorHAnsi"/>
          <w:sz w:val="16"/>
          <w:szCs w:val="16"/>
        </w:rPr>
        <w:t>1080 – Bruxelles</w:t>
      </w:r>
    </w:p>
    <w:p>
      <w:pPr>
        <w:rPr>
          <w:rFonts w:asciiTheme="minorHAnsi" w:hAnsiTheme="minorHAnsi" w:cstheme="minorHAnsi"/>
          <w:sz w:val="12"/>
          <w:szCs w:val="12"/>
        </w:rPr>
      </w:pPr>
    </w:p>
    <w:p>
      <w:pPr>
        <w:rPr>
          <w:rFonts w:asciiTheme="minorHAnsi" w:hAnsiTheme="minorHAnsi" w:cstheme="minorHAnsi"/>
          <w:i/>
          <w:sz w:val="18"/>
          <w:szCs w:val="18"/>
        </w:rPr>
      </w:pPr>
      <w:r>
        <w:rPr>
          <w:rFonts w:asciiTheme="minorHAnsi" w:hAnsiTheme="minorHAnsi" w:cstheme="minorHAnsi"/>
          <w:i/>
          <w:sz w:val="18"/>
          <w:szCs w:val="18"/>
        </w:rPr>
        <w:t>Les justificatifs sont à annexer à la présente.</w:t>
      </w:r>
    </w:p>
    <w:p>
      <w:pPr>
        <w:rPr>
          <w:rFonts w:asciiTheme="minorHAnsi" w:hAnsiTheme="minorHAnsi" w:cstheme="minorHAnsi"/>
          <w:i/>
          <w:sz w:val="18"/>
          <w:szCs w:val="18"/>
        </w:rPr>
      </w:pPr>
      <w:r>
        <w:rPr>
          <w:rFonts w:asciiTheme="minorHAnsi" w:hAnsiTheme="minorHAnsi" w:cstheme="minorHAnsi"/>
          <w:i/>
          <w:sz w:val="18"/>
          <w:szCs w:val="18"/>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13</w:t>
      </w:r>
    </w:p>
    <w:p>
      <w:pPr>
        <w:spacing w:before="240" w:after="240"/>
        <w:jc w:val="center"/>
        <w:rPr>
          <w:rFonts w:ascii="Calibri" w:hAnsi="Calibri" w:cs="Calibri"/>
          <w:b/>
          <w:sz w:val="36"/>
          <w:szCs w:val="36"/>
        </w:rPr>
      </w:pPr>
      <w:r>
        <w:rPr>
          <w:rFonts w:ascii="Calibri" w:hAnsi="Calibri" w:cs="Calibri"/>
          <w:b/>
          <w:sz w:val="36"/>
          <w:szCs w:val="36"/>
        </w:rPr>
        <w:t>Vade-mecum relatif à la procédure de remboursement des frais de déplacement et d’hébergement des participants aux formations CTA</w:t>
      </w:r>
    </w:p>
    <w:p>
      <w:pPr>
        <w:ind w:left="2880"/>
        <w:jc w:val="center"/>
        <w:rPr>
          <w:rFonts w:asciiTheme="minorHAnsi" w:hAnsiTheme="minorHAnsi" w:cstheme="minorHAnsi"/>
          <w:b/>
          <w:sz w:val="20"/>
          <w:szCs w:val="20"/>
        </w:rPr>
      </w:pPr>
      <w:r>
        <w:rPr>
          <w:rFonts w:ascii="Calibri" w:hAnsi="Calibri" w:cs="Calibri"/>
          <w:sz w:val="22"/>
          <w:szCs w:val="22"/>
        </w:rPr>
        <w:br w:type="page"/>
      </w:r>
    </w:p>
    <w:p>
      <w:pPr>
        <w:pBdr>
          <w:top w:val="single" w:sz="4" w:space="1" w:color="auto"/>
          <w:left w:val="single" w:sz="4" w:space="4" w:color="auto"/>
          <w:bottom w:val="single" w:sz="4" w:space="1" w:color="auto"/>
          <w:right w:val="single" w:sz="4" w:space="4" w:color="auto"/>
        </w:pBdr>
        <w:spacing w:before="240" w:after="240"/>
        <w:jc w:val="center"/>
        <w:rPr>
          <w:rFonts w:asciiTheme="minorHAnsi" w:hAnsiTheme="minorHAnsi" w:cstheme="minorHAnsi"/>
          <w:b/>
          <w:smallCaps/>
          <w:sz w:val="36"/>
          <w:szCs w:val="36"/>
        </w:rPr>
      </w:pPr>
      <w:r>
        <w:rPr>
          <w:rFonts w:asciiTheme="minorHAnsi" w:hAnsiTheme="minorHAnsi" w:cstheme="minorHAnsi"/>
          <w:b/>
          <w:smallCaps/>
          <w:sz w:val="36"/>
          <w:szCs w:val="36"/>
        </w:rPr>
        <w:lastRenderedPageBreak/>
        <w:t>Vade-mecum relatif à la procédure de remboursement des frais de déplacement et d’hébergement des participants aux formations CTA</w:t>
      </w:r>
    </w:p>
    <w:p>
      <w:pPr>
        <w:numPr>
          <w:ilvl w:val="0"/>
          <w:numId w:val="126"/>
        </w:numPr>
        <w:spacing w:before="240" w:after="240" w:line="276" w:lineRule="auto"/>
        <w:ind w:left="425" w:hanging="425"/>
        <w:jc w:val="both"/>
        <w:rPr>
          <w:rFonts w:asciiTheme="minorHAnsi" w:hAnsiTheme="minorHAnsi" w:cstheme="minorHAnsi"/>
          <w:b/>
          <w:sz w:val="32"/>
          <w:szCs w:val="32"/>
          <w:u w:val="single"/>
        </w:rPr>
      </w:pPr>
      <w:r>
        <w:rPr>
          <w:rFonts w:asciiTheme="minorHAnsi" w:hAnsiTheme="minorHAnsi" w:cstheme="minorHAnsi"/>
          <w:b/>
          <w:sz w:val="32"/>
          <w:szCs w:val="32"/>
          <w:u w:val="single"/>
        </w:rPr>
        <w:t>Introduction</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Dans le cadre des formations organisées en CTA, les frais de déplacement et/ou d’hébergement des participants sont pris en charge, tout au moins en partie, par l’administration de la Fédération Wallonie-Bruxelles.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Avant de décrire les procédures de gestion et de contrôle des dossiers de demande de remboursement, voici un rappel des publics visés par cette procédure. </w:t>
      </w:r>
    </w:p>
    <w:p>
      <w:pPr>
        <w:numPr>
          <w:ilvl w:val="0"/>
          <w:numId w:val="126"/>
        </w:numPr>
        <w:spacing w:before="240" w:after="240" w:line="276" w:lineRule="auto"/>
        <w:ind w:left="425" w:hanging="425"/>
        <w:jc w:val="both"/>
        <w:rPr>
          <w:rFonts w:asciiTheme="minorHAnsi" w:hAnsiTheme="minorHAnsi" w:cstheme="minorHAnsi"/>
          <w:b/>
          <w:sz w:val="32"/>
          <w:szCs w:val="32"/>
          <w:u w:val="single"/>
        </w:rPr>
      </w:pPr>
      <w:r>
        <w:rPr>
          <w:rFonts w:asciiTheme="minorHAnsi" w:hAnsiTheme="minorHAnsi" w:cstheme="minorHAnsi"/>
          <w:b/>
          <w:sz w:val="32"/>
          <w:szCs w:val="32"/>
          <w:u w:val="single"/>
        </w:rPr>
        <w:t>Publics concernés par le remboursement des frais de déplacement et d’hébergement</w:t>
      </w:r>
    </w:p>
    <w:p>
      <w:pPr>
        <w:spacing w:after="120" w:line="276" w:lineRule="auto"/>
        <w:jc w:val="both"/>
        <w:rPr>
          <w:rFonts w:ascii="Calibri" w:hAnsi="Calibri" w:cs="Calibri"/>
          <w:sz w:val="20"/>
          <w:szCs w:val="20"/>
          <w:lang w:val="fr-FR"/>
        </w:rPr>
      </w:pPr>
      <w:r>
        <w:rPr>
          <w:rFonts w:ascii="Calibri" w:hAnsi="Calibri" w:cs="Calibri"/>
          <w:sz w:val="20"/>
          <w:szCs w:val="20"/>
          <w:lang w:val="fr-FR"/>
        </w:rPr>
        <w:t>Seuls les élèves et enseignants issus de l’enseignement obligatoire peuvent prétendre à l’introduction de demandes de remboursement, à condition que ceux-ci soient issus :</w:t>
      </w:r>
    </w:p>
    <w:p>
      <w:pPr>
        <w:numPr>
          <w:ilvl w:val="1"/>
          <w:numId w:val="123"/>
        </w:numPr>
        <w:tabs>
          <w:tab w:val="clear" w:pos="1440"/>
          <w:tab w:val="num" w:pos="851"/>
        </w:tabs>
        <w:spacing w:after="120"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de la 4</w:t>
      </w:r>
      <w:r>
        <w:rPr>
          <w:rFonts w:asciiTheme="minorHAnsi" w:hAnsiTheme="minorHAnsi" w:cstheme="minorHAnsi"/>
          <w:sz w:val="20"/>
          <w:szCs w:val="20"/>
          <w:vertAlign w:val="superscript"/>
        </w:rPr>
        <w:t>e</w:t>
      </w:r>
      <w:r>
        <w:rPr>
          <w:rFonts w:asciiTheme="minorHAnsi" w:hAnsiTheme="minorHAnsi" w:cstheme="minorHAnsi"/>
          <w:sz w:val="20"/>
          <w:szCs w:val="20"/>
        </w:rPr>
        <w:t xml:space="preserve"> année de l’enseignement secondaire ordinaire et spécialisé de forme 4 organisée dans le régime de la CPU (</w:t>
      </w:r>
      <w:r>
        <w:rPr>
          <w:rFonts w:asciiTheme="minorHAnsi" w:hAnsiTheme="minorHAnsi" w:cstheme="minorHAnsi"/>
          <w:b/>
          <w:sz w:val="20"/>
          <w:szCs w:val="20"/>
        </w:rPr>
        <w:t>à partir du 1</w:t>
      </w:r>
      <w:r>
        <w:rPr>
          <w:rFonts w:asciiTheme="minorHAnsi" w:hAnsiTheme="minorHAnsi" w:cstheme="minorHAnsi"/>
          <w:b/>
          <w:sz w:val="20"/>
          <w:szCs w:val="20"/>
          <w:vertAlign w:val="superscript"/>
        </w:rPr>
        <w:t>er</w:t>
      </w:r>
      <w:r>
        <w:rPr>
          <w:rFonts w:asciiTheme="minorHAnsi" w:hAnsiTheme="minorHAnsi" w:cstheme="minorHAnsi"/>
          <w:b/>
          <w:sz w:val="20"/>
          <w:szCs w:val="20"/>
        </w:rPr>
        <w:t xml:space="preserve"> septembre 2018</w:t>
      </w:r>
      <w:r>
        <w:rPr>
          <w:rFonts w:asciiTheme="minorHAnsi" w:hAnsiTheme="minorHAnsi" w:cstheme="minorHAnsi"/>
          <w:sz w:val="20"/>
          <w:szCs w:val="20"/>
        </w:rPr>
        <w:t>)</w:t>
      </w:r>
    </w:p>
    <w:p>
      <w:pPr>
        <w:numPr>
          <w:ilvl w:val="1"/>
          <w:numId w:val="123"/>
        </w:numPr>
        <w:tabs>
          <w:tab w:val="clear" w:pos="1440"/>
          <w:tab w:val="num" w:pos="851"/>
        </w:tabs>
        <w:spacing w:after="120"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des 3</w:t>
      </w:r>
      <w:r>
        <w:rPr>
          <w:rFonts w:asciiTheme="minorHAnsi" w:hAnsiTheme="minorHAnsi" w:cstheme="minorHAnsi"/>
          <w:sz w:val="20"/>
          <w:szCs w:val="20"/>
          <w:vertAlign w:val="superscript"/>
        </w:rPr>
        <w:t>e</w:t>
      </w:r>
      <w:r>
        <w:rPr>
          <w:rFonts w:asciiTheme="minorHAnsi" w:hAnsiTheme="minorHAnsi" w:cstheme="minorHAnsi"/>
          <w:sz w:val="20"/>
          <w:szCs w:val="20"/>
        </w:rPr>
        <w:t xml:space="preserve"> et 4</w:t>
      </w:r>
      <w:r>
        <w:rPr>
          <w:rFonts w:asciiTheme="minorHAnsi" w:hAnsiTheme="minorHAnsi" w:cstheme="minorHAnsi"/>
          <w:sz w:val="20"/>
          <w:szCs w:val="20"/>
          <w:vertAlign w:val="superscript"/>
        </w:rPr>
        <w:t>e</w:t>
      </w:r>
      <w:r>
        <w:rPr>
          <w:rFonts w:asciiTheme="minorHAnsi" w:hAnsiTheme="minorHAnsi" w:cstheme="minorHAnsi"/>
          <w:sz w:val="20"/>
          <w:szCs w:val="20"/>
        </w:rPr>
        <w:t xml:space="preserve"> degrés des options techniques de qualification et professionnelles de l’enseignement secondaire ordinaire de plein exercice et en alternance</w:t>
      </w:r>
    </w:p>
    <w:p>
      <w:pPr>
        <w:numPr>
          <w:ilvl w:val="1"/>
          <w:numId w:val="123"/>
        </w:numPr>
        <w:tabs>
          <w:tab w:val="clear" w:pos="1440"/>
          <w:tab w:val="num" w:pos="851"/>
        </w:tabs>
        <w:spacing w:after="120"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du 3</w:t>
      </w:r>
      <w:r>
        <w:rPr>
          <w:rFonts w:asciiTheme="minorHAnsi" w:hAnsiTheme="minorHAnsi" w:cstheme="minorHAnsi"/>
          <w:sz w:val="20"/>
          <w:szCs w:val="20"/>
          <w:vertAlign w:val="superscript"/>
        </w:rPr>
        <w:t>e</w:t>
      </w:r>
      <w:r>
        <w:rPr>
          <w:rFonts w:asciiTheme="minorHAnsi" w:hAnsiTheme="minorHAnsi" w:cstheme="minorHAnsi"/>
          <w:sz w:val="20"/>
          <w:szCs w:val="20"/>
        </w:rPr>
        <w:t xml:space="preserve"> degré des options techniques de qualification et professionnelles de l’enseignement secondaire spécialisé de forme 4 de plein exercice et en alternance</w:t>
      </w:r>
    </w:p>
    <w:p>
      <w:pPr>
        <w:numPr>
          <w:ilvl w:val="1"/>
          <w:numId w:val="123"/>
        </w:numPr>
        <w:tabs>
          <w:tab w:val="clear" w:pos="1440"/>
          <w:tab w:val="num" w:pos="851"/>
        </w:tabs>
        <w:spacing w:after="120"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de la 3</w:t>
      </w:r>
      <w:r>
        <w:rPr>
          <w:rFonts w:asciiTheme="minorHAnsi" w:hAnsiTheme="minorHAnsi" w:cstheme="minorHAnsi"/>
          <w:sz w:val="20"/>
          <w:szCs w:val="20"/>
          <w:vertAlign w:val="superscript"/>
        </w:rPr>
        <w:t>e</w:t>
      </w:r>
      <w:r>
        <w:rPr>
          <w:rFonts w:asciiTheme="minorHAnsi" w:hAnsiTheme="minorHAnsi" w:cstheme="minorHAnsi"/>
          <w:sz w:val="20"/>
          <w:szCs w:val="20"/>
        </w:rPr>
        <w:t xml:space="preserve"> phase de l’enseignement secondaire spécialisé de forme 3 de plein exercice et en alternance</w:t>
      </w:r>
    </w:p>
    <w:p>
      <w:pPr>
        <w:numPr>
          <w:ilvl w:val="1"/>
          <w:numId w:val="123"/>
        </w:numPr>
        <w:tabs>
          <w:tab w:val="clear" w:pos="1440"/>
          <w:tab w:val="num" w:pos="851"/>
        </w:tabs>
        <w:spacing w:after="120" w:line="276" w:lineRule="auto"/>
        <w:ind w:left="851"/>
        <w:jc w:val="both"/>
        <w:rPr>
          <w:rFonts w:asciiTheme="minorHAnsi" w:hAnsiTheme="minorHAnsi" w:cstheme="minorHAnsi"/>
          <w:sz w:val="20"/>
          <w:szCs w:val="20"/>
        </w:rPr>
      </w:pPr>
      <w:r>
        <w:rPr>
          <w:rFonts w:asciiTheme="minorHAnsi" w:hAnsiTheme="minorHAnsi" w:cstheme="minorHAnsi"/>
          <w:sz w:val="20"/>
          <w:szCs w:val="20"/>
        </w:rPr>
        <w:t>du 3</w:t>
      </w:r>
      <w:r>
        <w:rPr>
          <w:rFonts w:asciiTheme="minorHAnsi" w:hAnsiTheme="minorHAnsi" w:cstheme="minorHAnsi"/>
          <w:sz w:val="20"/>
          <w:szCs w:val="20"/>
          <w:vertAlign w:val="superscript"/>
        </w:rPr>
        <w:t>e</w:t>
      </w:r>
      <w:r>
        <w:rPr>
          <w:rFonts w:asciiTheme="minorHAnsi" w:hAnsiTheme="minorHAnsi" w:cstheme="minorHAnsi"/>
          <w:sz w:val="20"/>
          <w:szCs w:val="20"/>
        </w:rPr>
        <w:t xml:space="preserve"> degré de l’enseignement technique de la section de transition de l’enseignement secondaire ordinaire</w:t>
      </w:r>
    </w:p>
    <w:p>
      <w:pPr>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Les frais de déplacements encourus par les autres publics ne sont pas pris en charge par la Fédération Wallonie-Bruxelles.</w:t>
      </w:r>
    </w:p>
    <w:p>
      <w:pPr>
        <w:numPr>
          <w:ilvl w:val="0"/>
          <w:numId w:val="126"/>
        </w:numPr>
        <w:spacing w:before="240" w:after="240" w:line="276" w:lineRule="auto"/>
        <w:ind w:left="425" w:hanging="425"/>
        <w:jc w:val="both"/>
        <w:rPr>
          <w:rFonts w:asciiTheme="minorHAnsi" w:hAnsiTheme="minorHAnsi" w:cstheme="minorHAnsi"/>
          <w:b/>
          <w:sz w:val="32"/>
          <w:szCs w:val="32"/>
          <w:u w:val="single"/>
        </w:rPr>
      </w:pPr>
      <w:r>
        <w:rPr>
          <w:rFonts w:asciiTheme="minorHAnsi" w:hAnsiTheme="minorHAnsi" w:cstheme="minorHAnsi"/>
          <w:b/>
          <w:sz w:val="32"/>
          <w:szCs w:val="32"/>
          <w:u w:val="single"/>
        </w:rPr>
        <w:t>Textes réglementaires</w:t>
      </w:r>
    </w:p>
    <w:p>
      <w:pPr>
        <w:spacing w:after="120" w:line="276" w:lineRule="auto"/>
        <w:rPr>
          <w:rFonts w:asciiTheme="minorHAnsi" w:hAnsiTheme="minorHAnsi" w:cstheme="minorHAnsi"/>
          <w:sz w:val="20"/>
          <w:szCs w:val="20"/>
        </w:rPr>
      </w:pPr>
      <w:r>
        <w:rPr>
          <w:rFonts w:asciiTheme="minorHAnsi" w:hAnsiTheme="minorHAnsi" w:cstheme="minorHAnsi"/>
          <w:sz w:val="20"/>
          <w:szCs w:val="20"/>
        </w:rPr>
        <w:t>Les informations contenues dans le présent vade-mecum sont issues des textes réglementaires suivants :</w:t>
      </w:r>
    </w:p>
    <w:p>
      <w:pPr>
        <w:numPr>
          <w:ilvl w:val="1"/>
          <w:numId w:val="123"/>
        </w:numPr>
        <w:tabs>
          <w:tab w:val="clear" w:pos="1440"/>
          <w:tab w:val="num" w:pos="851"/>
        </w:tabs>
        <w:spacing w:after="120"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 xml:space="preserve">Accord de coopération conclu le 20 mars 2014 entre </w:t>
      </w:r>
      <w:smartTag w:uri="urn:schemas-microsoft-com:office:smarttags" w:element="PersonName">
        <w:smartTagPr>
          <w:attr w:name="ProductID" w:val="la R￩gion"/>
        </w:smartTagPr>
        <w:r>
          <w:rPr>
            <w:rFonts w:asciiTheme="minorHAnsi" w:hAnsiTheme="minorHAnsi" w:cstheme="minorHAnsi"/>
            <w:sz w:val="20"/>
            <w:szCs w:val="20"/>
          </w:rPr>
          <w:t>la Région</w:t>
        </w:r>
      </w:smartTag>
      <w:r>
        <w:rPr>
          <w:rFonts w:asciiTheme="minorHAnsi" w:hAnsiTheme="minorHAnsi" w:cstheme="minorHAnsi"/>
          <w:sz w:val="20"/>
          <w:szCs w:val="20"/>
        </w:rPr>
        <w:t xml:space="preserve"> wallonne et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Theme="minorHAnsi" w:hAnsiTheme="minorHAnsi" w:cstheme="minorHAnsi"/>
              <w:sz w:val="20"/>
              <w:szCs w:val="20"/>
            </w:rPr>
            <w:t>la Fédération</w:t>
          </w:r>
        </w:smartTag>
        <w:r>
          <w:rPr>
            <w:rFonts w:asciiTheme="minorHAnsi" w:hAnsiTheme="minorHAnsi" w:cstheme="minorHAnsi"/>
            <w:sz w:val="20"/>
            <w:szCs w:val="20"/>
          </w:rPr>
          <w:t xml:space="preserve"> Wallonie-Bruxelles</w:t>
        </w:r>
      </w:smartTag>
      <w:r>
        <w:rPr>
          <w:rFonts w:asciiTheme="minorHAnsi" w:hAnsiTheme="minorHAnsi" w:cstheme="minorHAnsi"/>
          <w:sz w:val="20"/>
          <w:szCs w:val="20"/>
        </w:rPr>
        <w:t xml:space="preserve"> relatif à l’équipement mis à disposition dans le cadre de la refondation de l’enseignement qualifiant et à la collaboration entre CTA et CDC</w:t>
      </w:r>
    </w:p>
    <w:p>
      <w:pPr>
        <w:numPr>
          <w:ilvl w:val="1"/>
          <w:numId w:val="123"/>
        </w:numPr>
        <w:tabs>
          <w:tab w:val="clear" w:pos="1440"/>
          <w:tab w:val="num" w:pos="851"/>
        </w:tabs>
        <w:spacing w:after="120"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Accord de coopération conclu le 22 juin 2016 entre la Région de Bruxelles-Capitale, la Commission communautaire française et la Communauté française relatif à l’équipement mis à disposition dans le cadre de la refondation de l’enseignement qualifiant et à la collaboration entre les centres de technologies avancées et les centres de référence professionnelle</w:t>
      </w:r>
    </w:p>
    <w:p>
      <w:pPr>
        <w:numPr>
          <w:ilvl w:val="1"/>
          <w:numId w:val="123"/>
        </w:numPr>
        <w:tabs>
          <w:tab w:val="clear" w:pos="1440"/>
          <w:tab w:val="num" w:pos="851"/>
        </w:tabs>
        <w:spacing w:after="120" w:line="276" w:lineRule="auto"/>
        <w:ind w:left="851"/>
        <w:jc w:val="both"/>
        <w:rPr>
          <w:rFonts w:asciiTheme="minorHAnsi" w:hAnsiTheme="minorHAnsi" w:cstheme="minorHAnsi"/>
          <w:sz w:val="20"/>
          <w:szCs w:val="20"/>
        </w:rPr>
      </w:pPr>
      <w:r>
        <w:rPr>
          <w:rFonts w:asciiTheme="minorHAnsi" w:hAnsiTheme="minorHAnsi" w:cstheme="minorHAnsi"/>
          <w:sz w:val="20"/>
          <w:szCs w:val="20"/>
        </w:rPr>
        <w:t>Décret du 11 avril 2014 garantissant l'équipement pédagogique de l'enseignement qualifiant et fixant l’organisation des CTA</w:t>
      </w:r>
    </w:p>
    <w:p>
      <w:pPr>
        <w:rPr>
          <w:rFonts w:asciiTheme="minorHAnsi" w:hAnsiTheme="minorHAnsi" w:cstheme="minorHAnsi"/>
          <w:b/>
          <w:sz w:val="32"/>
          <w:szCs w:val="32"/>
          <w:u w:val="single"/>
        </w:rPr>
      </w:pPr>
      <w:r>
        <w:rPr>
          <w:rFonts w:asciiTheme="minorHAnsi" w:hAnsiTheme="minorHAnsi" w:cstheme="minorHAnsi"/>
          <w:b/>
          <w:sz w:val="32"/>
          <w:szCs w:val="32"/>
          <w:u w:val="single"/>
        </w:rPr>
        <w:br w:type="page"/>
      </w:r>
    </w:p>
    <w:p>
      <w:pPr>
        <w:numPr>
          <w:ilvl w:val="0"/>
          <w:numId w:val="126"/>
        </w:numPr>
        <w:spacing w:before="240" w:after="240" w:line="276" w:lineRule="auto"/>
        <w:ind w:left="425" w:hanging="425"/>
        <w:jc w:val="both"/>
        <w:rPr>
          <w:rFonts w:asciiTheme="minorHAnsi" w:hAnsiTheme="minorHAnsi" w:cstheme="minorHAnsi"/>
          <w:b/>
          <w:sz w:val="32"/>
          <w:szCs w:val="32"/>
          <w:u w:val="single"/>
        </w:rPr>
      </w:pPr>
      <w:r>
        <w:rPr>
          <w:rFonts w:asciiTheme="minorHAnsi" w:hAnsiTheme="minorHAnsi" w:cstheme="minorHAnsi"/>
          <w:b/>
          <w:sz w:val="32"/>
          <w:szCs w:val="32"/>
          <w:u w:val="single"/>
        </w:rPr>
        <w:lastRenderedPageBreak/>
        <w:t>Critères d’application pour la gestion des frais de déplacements et d’hébergement</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Afin d’assurer le traitement optimal des demandes de remboursement des frais de déplacement et d’hébergement, il convient de prendre en considération lors de la vérification des dossiers les critères suivants :</w:t>
      </w:r>
    </w:p>
    <w:p>
      <w:pPr>
        <w:numPr>
          <w:ilvl w:val="1"/>
          <w:numId w:val="124"/>
        </w:numPr>
        <w:spacing w:before="120" w:after="120" w:line="276" w:lineRule="auto"/>
        <w:ind w:left="567" w:hanging="567"/>
        <w:jc w:val="both"/>
        <w:rPr>
          <w:rFonts w:asciiTheme="minorHAnsi" w:hAnsiTheme="minorHAnsi" w:cstheme="minorHAnsi"/>
          <w:b/>
          <w:i/>
          <w:sz w:val="28"/>
          <w:szCs w:val="28"/>
          <w:lang w:val="fr-FR"/>
        </w:rPr>
      </w:pPr>
      <w:r>
        <w:rPr>
          <w:rFonts w:asciiTheme="minorHAnsi" w:hAnsiTheme="minorHAnsi" w:cstheme="minorHAnsi"/>
          <w:b/>
          <w:i/>
          <w:sz w:val="28"/>
          <w:szCs w:val="28"/>
          <w:lang w:val="fr-FR"/>
        </w:rPr>
        <w:t>Coûts liés aux frais de déplacement</w:t>
      </w:r>
    </w:p>
    <w:p>
      <w:pPr>
        <w:autoSpaceDE w:val="0"/>
        <w:autoSpaceDN w:val="0"/>
        <w:adjustRightInd w:val="0"/>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 xml:space="preserve">Les frais de déplacement sont remboursés par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Theme="minorHAnsi" w:hAnsiTheme="minorHAnsi" w:cstheme="minorHAnsi"/>
              <w:sz w:val="20"/>
              <w:szCs w:val="20"/>
              <w:lang w:val="fr-FR"/>
            </w:rPr>
            <w:t>la Fédération</w:t>
          </w:r>
        </w:smartTag>
        <w:r>
          <w:rPr>
            <w:rFonts w:asciiTheme="minorHAnsi" w:hAnsiTheme="minorHAnsi" w:cstheme="minorHAnsi"/>
            <w:sz w:val="20"/>
            <w:szCs w:val="20"/>
            <w:lang w:val="fr-FR"/>
          </w:rPr>
          <w:t xml:space="preserve"> Wallonie-Bruxelles</w:t>
        </w:r>
      </w:smartTag>
      <w:r>
        <w:rPr>
          <w:rFonts w:asciiTheme="minorHAnsi" w:hAnsiTheme="minorHAnsi" w:cstheme="minorHAnsi"/>
          <w:sz w:val="20"/>
          <w:szCs w:val="20"/>
          <w:lang w:val="fr-FR"/>
        </w:rPr>
        <w:t xml:space="preserve"> à l'établissement qui fréquente le CTA </w:t>
      </w:r>
      <w:r>
        <w:rPr>
          <w:rFonts w:asciiTheme="minorHAnsi" w:hAnsiTheme="minorHAnsi" w:cstheme="minorHAnsi"/>
          <w:b/>
          <w:i/>
          <w:sz w:val="20"/>
          <w:szCs w:val="20"/>
          <w:u w:val="single"/>
          <w:lang w:val="fr-FR"/>
        </w:rPr>
        <w:t>sur base des frais réels</w:t>
      </w:r>
      <w:r>
        <w:rPr>
          <w:rFonts w:asciiTheme="minorHAnsi" w:hAnsiTheme="minorHAnsi" w:cstheme="minorHAnsi"/>
          <w:sz w:val="20"/>
          <w:szCs w:val="20"/>
          <w:lang w:val="fr-FR"/>
        </w:rPr>
        <w:t xml:space="preserve">. </w:t>
      </w:r>
    </w:p>
    <w:p>
      <w:pPr>
        <w:autoSpaceDE w:val="0"/>
        <w:autoSpaceDN w:val="0"/>
        <w:adjustRightInd w:val="0"/>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 xml:space="preserve">Ces frais seront pris en charge si </w:t>
      </w:r>
      <w:r>
        <w:rPr>
          <w:rFonts w:asciiTheme="minorHAnsi" w:hAnsiTheme="minorHAnsi" w:cstheme="minorHAnsi"/>
          <w:b/>
          <w:i/>
          <w:sz w:val="20"/>
          <w:szCs w:val="20"/>
          <w:u w:val="single"/>
          <w:lang w:val="fr-FR"/>
        </w:rPr>
        <w:t>un et un seul des cas de figure</w:t>
      </w:r>
      <w:r>
        <w:rPr>
          <w:rFonts w:asciiTheme="minorHAnsi" w:hAnsiTheme="minorHAnsi" w:cstheme="minorHAnsi"/>
          <w:sz w:val="20"/>
          <w:szCs w:val="20"/>
          <w:lang w:val="fr-FR"/>
        </w:rPr>
        <w:t xml:space="preserve"> suivants est rencontré :</w:t>
      </w:r>
    </w:p>
    <w:p>
      <w:pPr>
        <w:numPr>
          <w:ilvl w:val="1"/>
          <w:numId w:val="123"/>
        </w:numPr>
        <w:tabs>
          <w:tab w:val="clear" w:pos="1440"/>
          <w:tab w:val="num" w:pos="851"/>
        </w:tabs>
        <w:spacing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des frais de transport en commun (lignes de Go Pass, tickets, etc.)</w:t>
      </w:r>
    </w:p>
    <w:p>
      <w:pPr>
        <w:numPr>
          <w:ilvl w:val="1"/>
          <w:numId w:val="123"/>
        </w:numPr>
        <w:tabs>
          <w:tab w:val="clear" w:pos="1440"/>
          <w:tab w:val="num" w:pos="851"/>
        </w:tabs>
        <w:spacing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des frais de location d'un car ou d’une voiture ou d’un minibus. Dans ces cas, le choix du prestataire de service devra être motivé (consultation de minimum 3 fournisseurs, obtention de devis et explication du choix).</w:t>
      </w:r>
    </w:p>
    <w:p>
      <w:pPr>
        <w:numPr>
          <w:ilvl w:val="1"/>
          <w:numId w:val="123"/>
        </w:numPr>
        <w:tabs>
          <w:tab w:val="clear" w:pos="1440"/>
          <w:tab w:val="num" w:pos="851"/>
        </w:tabs>
        <w:spacing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des frais liés à l'utilisation du car de l'école (au taux de 0,85 €/km sur base de la distance entre l'école et le CTA)</w:t>
      </w:r>
    </w:p>
    <w:p>
      <w:pPr>
        <w:numPr>
          <w:ilvl w:val="1"/>
          <w:numId w:val="123"/>
        </w:numPr>
        <w:tabs>
          <w:tab w:val="clear" w:pos="1440"/>
          <w:tab w:val="num" w:pos="851"/>
        </w:tabs>
        <w:spacing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des frais de voiture (au taux de 0,3241 €/km sur base de la distance la plus courte entre soit le domicile soit l’école et le CTA) si et seulement si :</w:t>
      </w:r>
    </w:p>
    <w:p>
      <w:pPr>
        <w:numPr>
          <w:ilvl w:val="1"/>
          <w:numId w:val="125"/>
        </w:numPr>
        <w:autoSpaceDE w:val="0"/>
        <w:autoSpaceDN w:val="0"/>
        <w:adjustRightInd w:val="0"/>
        <w:spacing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l'enseignant prend sa voiture pour conduire ses élèves en formation</w:t>
      </w:r>
    </w:p>
    <w:p>
      <w:pPr>
        <w:numPr>
          <w:ilvl w:val="1"/>
          <w:numId w:val="125"/>
        </w:numPr>
        <w:autoSpaceDE w:val="0"/>
        <w:autoSpaceDN w:val="0"/>
        <w:adjustRightInd w:val="0"/>
        <w:spacing w:after="24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l'enseignant se rend à une formation pour enseignants</w:t>
      </w:r>
    </w:p>
    <w:p>
      <w:pPr>
        <w:autoSpaceDE w:val="0"/>
        <w:autoSpaceDN w:val="0"/>
        <w:adjustRightInd w:val="0"/>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 xml:space="preserve">Si des solutions de </w:t>
      </w:r>
      <w:r>
        <w:rPr>
          <w:rFonts w:asciiTheme="minorHAnsi" w:hAnsiTheme="minorHAnsi" w:cstheme="minorHAnsi"/>
          <w:b/>
          <w:sz w:val="20"/>
          <w:szCs w:val="20"/>
          <w:u w:val="single"/>
          <w:lang w:val="fr-FR"/>
        </w:rPr>
        <w:t>transport en commun</w:t>
      </w:r>
      <w:r>
        <w:rPr>
          <w:rFonts w:asciiTheme="minorHAnsi" w:hAnsiTheme="minorHAnsi" w:cstheme="minorHAnsi"/>
          <w:sz w:val="20"/>
          <w:szCs w:val="20"/>
          <w:lang w:val="fr-FR"/>
        </w:rPr>
        <w:t xml:space="preserve"> ou de </w:t>
      </w:r>
      <w:r>
        <w:rPr>
          <w:rFonts w:asciiTheme="minorHAnsi" w:hAnsiTheme="minorHAnsi" w:cstheme="minorHAnsi"/>
          <w:b/>
          <w:sz w:val="20"/>
          <w:szCs w:val="20"/>
          <w:u w:val="single"/>
          <w:lang w:val="fr-FR"/>
        </w:rPr>
        <w:t>covoiturage</w:t>
      </w:r>
      <w:r>
        <w:rPr>
          <w:rFonts w:asciiTheme="minorHAnsi" w:hAnsiTheme="minorHAnsi" w:cstheme="minorHAnsi"/>
          <w:sz w:val="20"/>
          <w:szCs w:val="20"/>
          <w:lang w:val="fr-FR"/>
        </w:rPr>
        <w:t xml:space="preserve"> existent, celles-ci sont </w:t>
      </w:r>
      <w:r>
        <w:rPr>
          <w:rFonts w:asciiTheme="minorHAnsi" w:hAnsiTheme="minorHAnsi" w:cstheme="minorHAnsi"/>
          <w:b/>
          <w:sz w:val="20"/>
          <w:szCs w:val="20"/>
          <w:u w:val="single"/>
          <w:lang w:val="fr-FR"/>
        </w:rPr>
        <w:t>à privilégier impérativement</w:t>
      </w:r>
      <w:r>
        <w:rPr>
          <w:rFonts w:asciiTheme="minorHAnsi" w:hAnsiTheme="minorHAnsi" w:cstheme="minorHAnsi"/>
          <w:sz w:val="20"/>
          <w:szCs w:val="20"/>
          <w:lang w:val="fr-FR"/>
        </w:rPr>
        <w:t>. Dans le cas contraire, quelque soit le moyen de déplacement choisi, il convient de privilégier la solution la plus économique en fonction du nombre de participants et de la distance à parcourir.</w:t>
      </w:r>
    </w:p>
    <w:p>
      <w:pPr>
        <w:autoSpaceDE w:val="0"/>
        <w:autoSpaceDN w:val="0"/>
        <w:adjustRightInd w:val="0"/>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 xml:space="preserve">Dans le cas où un déplacement nécessiterait l’utilisation de </w:t>
      </w:r>
      <w:r>
        <w:rPr>
          <w:rFonts w:asciiTheme="minorHAnsi" w:hAnsiTheme="minorHAnsi" w:cstheme="minorHAnsi"/>
          <w:b/>
          <w:sz w:val="20"/>
          <w:szCs w:val="20"/>
          <w:lang w:val="fr-FR"/>
        </w:rPr>
        <w:t>plusieurs moyens de transports simultanés</w:t>
      </w:r>
      <w:r>
        <w:rPr>
          <w:rFonts w:asciiTheme="minorHAnsi" w:hAnsiTheme="minorHAnsi" w:cstheme="minorHAnsi"/>
          <w:sz w:val="20"/>
          <w:szCs w:val="20"/>
          <w:lang w:val="fr-FR"/>
        </w:rPr>
        <w:t xml:space="preserve">, une </w:t>
      </w:r>
      <w:r>
        <w:rPr>
          <w:rFonts w:asciiTheme="minorHAnsi" w:hAnsiTheme="minorHAnsi" w:cstheme="minorHAnsi"/>
          <w:b/>
          <w:sz w:val="20"/>
          <w:szCs w:val="20"/>
          <w:lang w:val="fr-FR"/>
        </w:rPr>
        <w:t>autorisation préalable</w:t>
      </w:r>
      <w:r>
        <w:rPr>
          <w:rFonts w:asciiTheme="minorHAnsi" w:hAnsiTheme="minorHAnsi" w:cstheme="minorHAnsi"/>
          <w:sz w:val="20"/>
          <w:szCs w:val="20"/>
          <w:lang w:val="fr-FR"/>
        </w:rPr>
        <w:t xml:space="preserve"> doit être délivrée par l’administration. Si celle-ci n’est pas jointe au dossier de demande de remboursement, il ne sera procédé qu’au remboursement du frais le moins élevé.</w:t>
      </w:r>
    </w:p>
    <w:p>
      <w:pPr>
        <w:autoSpaceDE w:val="0"/>
        <w:autoSpaceDN w:val="0"/>
        <w:adjustRightInd w:val="0"/>
        <w:spacing w:after="120" w:line="276" w:lineRule="auto"/>
        <w:jc w:val="both"/>
        <w:rPr>
          <w:rFonts w:asciiTheme="minorHAnsi" w:hAnsiTheme="minorHAnsi" w:cstheme="minorHAnsi"/>
          <w:b/>
          <w:sz w:val="20"/>
          <w:szCs w:val="20"/>
          <w:u w:val="single"/>
          <w:lang w:val="fr-FR"/>
        </w:rPr>
      </w:pPr>
      <w:r>
        <w:rPr>
          <w:rFonts w:asciiTheme="minorHAnsi" w:hAnsiTheme="minorHAnsi" w:cstheme="minorHAnsi"/>
          <w:b/>
          <w:sz w:val="20"/>
          <w:szCs w:val="20"/>
          <w:u w:val="single"/>
          <w:lang w:val="fr-FR"/>
        </w:rPr>
        <w:t xml:space="preserve">Attention : </w:t>
      </w:r>
    </w:p>
    <w:p>
      <w:pPr>
        <w:autoSpaceDE w:val="0"/>
        <w:autoSpaceDN w:val="0"/>
        <w:adjustRightInd w:val="0"/>
        <w:spacing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 xml:space="preserve">Lors d’une </w:t>
      </w:r>
      <w:r>
        <w:rPr>
          <w:rFonts w:asciiTheme="minorHAnsi" w:hAnsiTheme="minorHAnsi" w:cstheme="minorHAnsi"/>
          <w:b/>
          <w:sz w:val="20"/>
          <w:szCs w:val="20"/>
          <w:lang w:val="fr-FR"/>
        </w:rPr>
        <w:t>formation organisée à destination des enseignants</w:t>
      </w:r>
      <w:r>
        <w:rPr>
          <w:rFonts w:asciiTheme="minorHAnsi" w:hAnsiTheme="minorHAnsi" w:cstheme="minorHAnsi"/>
          <w:sz w:val="20"/>
          <w:szCs w:val="20"/>
          <w:lang w:val="fr-FR"/>
        </w:rPr>
        <w:t> :</w:t>
      </w:r>
    </w:p>
    <w:p>
      <w:pPr>
        <w:numPr>
          <w:ilvl w:val="1"/>
          <w:numId w:val="123"/>
        </w:numPr>
        <w:tabs>
          <w:tab w:val="clear" w:pos="1440"/>
          <w:tab w:val="num" w:pos="851"/>
        </w:tabs>
        <w:spacing w:after="120"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 xml:space="preserve">seule la distance la plus courte (soit entre l’école d’origine et le CTA soit entre le domicile et le CTA) sera remboursée dans le cadre d’une demande de remboursement pour un déplacement en voiture (site référence pour le calcul : </w:t>
      </w:r>
      <w:r>
        <w:rPr>
          <w:rFonts w:asciiTheme="minorHAnsi" w:hAnsiTheme="minorHAnsi" w:cstheme="minorHAnsi"/>
          <w:b/>
          <w:sz w:val="20"/>
          <w:szCs w:val="20"/>
        </w:rPr>
        <w:t>viamichelin.be</w:t>
      </w:r>
      <w:r>
        <w:rPr>
          <w:rFonts w:asciiTheme="minorHAnsi" w:hAnsiTheme="minorHAnsi" w:cstheme="minorHAnsi"/>
          <w:sz w:val="20"/>
          <w:szCs w:val="20"/>
        </w:rPr>
        <w:t>) ;</w:t>
      </w:r>
    </w:p>
    <w:p>
      <w:pPr>
        <w:numPr>
          <w:ilvl w:val="1"/>
          <w:numId w:val="123"/>
        </w:numPr>
        <w:tabs>
          <w:tab w:val="clear" w:pos="1440"/>
          <w:tab w:val="num" w:pos="851"/>
        </w:tabs>
        <w:spacing w:after="120"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il convient d’encourager les enseignants d’un même établissement à pratiquer le covoiturage ;</w:t>
      </w:r>
    </w:p>
    <w:p>
      <w:pPr>
        <w:numPr>
          <w:ilvl w:val="1"/>
          <w:numId w:val="123"/>
        </w:numPr>
        <w:tabs>
          <w:tab w:val="clear" w:pos="1440"/>
          <w:tab w:val="num" w:pos="851"/>
        </w:tabs>
        <w:spacing w:after="120" w:line="276" w:lineRule="auto"/>
        <w:ind w:left="851"/>
        <w:jc w:val="both"/>
        <w:rPr>
          <w:rFonts w:asciiTheme="minorHAnsi" w:hAnsiTheme="minorHAnsi" w:cstheme="minorHAnsi"/>
          <w:sz w:val="20"/>
          <w:szCs w:val="20"/>
        </w:rPr>
      </w:pPr>
      <w:r>
        <w:rPr>
          <w:rFonts w:asciiTheme="minorHAnsi" w:hAnsiTheme="minorHAnsi" w:cstheme="minorHAnsi"/>
          <w:sz w:val="20"/>
          <w:szCs w:val="20"/>
        </w:rPr>
        <w:t xml:space="preserve">dans le cas de formations organisées par l’un des trois opérateurs de formation continue (IFC – FCC – FORCAR), les demandes de remboursement de frais de déplacement ne sont pas prises en charge par la Fédération Wallonie-Bruxelles et doivent être </w:t>
      </w:r>
      <w:r>
        <w:rPr>
          <w:rFonts w:asciiTheme="minorHAnsi" w:hAnsiTheme="minorHAnsi" w:cstheme="minorHAnsi"/>
          <w:b/>
          <w:sz w:val="20"/>
          <w:szCs w:val="20"/>
        </w:rPr>
        <w:t>introduites auprès de ces organismes</w:t>
      </w:r>
      <w:r>
        <w:rPr>
          <w:rFonts w:asciiTheme="minorHAnsi" w:hAnsiTheme="minorHAnsi" w:cstheme="minorHAnsi"/>
          <w:sz w:val="20"/>
          <w:szCs w:val="20"/>
        </w:rPr>
        <w:t>.</w:t>
      </w:r>
    </w:p>
    <w:p>
      <w:pPr>
        <w:numPr>
          <w:ilvl w:val="1"/>
          <w:numId w:val="124"/>
        </w:numPr>
        <w:spacing w:before="120" w:after="120" w:line="276" w:lineRule="auto"/>
        <w:ind w:left="567" w:hanging="567"/>
        <w:jc w:val="both"/>
        <w:rPr>
          <w:rFonts w:asciiTheme="minorHAnsi" w:hAnsiTheme="minorHAnsi" w:cstheme="minorHAnsi"/>
          <w:b/>
          <w:i/>
          <w:sz w:val="28"/>
          <w:szCs w:val="28"/>
          <w:lang w:val="fr-FR"/>
        </w:rPr>
      </w:pPr>
      <w:r>
        <w:rPr>
          <w:rFonts w:asciiTheme="minorHAnsi" w:hAnsiTheme="minorHAnsi" w:cstheme="minorHAnsi"/>
          <w:b/>
          <w:i/>
          <w:sz w:val="28"/>
          <w:szCs w:val="28"/>
          <w:lang w:val="fr-FR"/>
        </w:rPr>
        <w:t>Coûts liés aux frais d'hébergement</w:t>
      </w:r>
    </w:p>
    <w:p>
      <w:pPr>
        <w:autoSpaceDE w:val="0"/>
        <w:autoSpaceDN w:val="0"/>
        <w:adjustRightInd w:val="0"/>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 xml:space="preserve">Les frais d'hébergement seront remboursés par </w:t>
      </w:r>
      <w:smartTag w:uri="urn:schemas-microsoft-com:office:smarttags" w:element="PersonName">
        <w:smartTagPr>
          <w:attr w:name="ProductID" w:val="la F￩d￩ration Wallonie-Bruxelles"/>
        </w:smartTagPr>
        <w:smartTag w:uri="urn:schemas-microsoft-com:office:smarttags" w:element="PersonName">
          <w:smartTagPr>
            <w:attr w:name="ProductID" w:val="la F￩d￩ration"/>
          </w:smartTagPr>
          <w:r>
            <w:rPr>
              <w:rFonts w:asciiTheme="minorHAnsi" w:hAnsiTheme="minorHAnsi" w:cstheme="minorHAnsi"/>
              <w:sz w:val="20"/>
              <w:szCs w:val="20"/>
              <w:lang w:val="fr-FR"/>
            </w:rPr>
            <w:t>la Fédération</w:t>
          </w:r>
        </w:smartTag>
        <w:r>
          <w:rPr>
            <w:rFonts w:asciiTheme="minorHAnsi" w:hAnsiTheme="minorHAnsi" w:cstheme="minorHAnsi"/>
            <w:sz w:val="20"/>
            <w:szCs w:val="20"/>
            <w:lang w:val="fr-FR"/>
          </w:rPr>
          <w:t xml:space="preserve"> Wallonie-Bruxelles</w:t>
        </w:r>
      </w:smartTag>
      <w:r>
        <w:rPr>
          <w:rFonts w:asciiTheme="minorHAnsi" w:hAnsiTheme="minorHAnsi" w:cstheme="minorHAnsi"/>
          <w:sz w:val="20"/>
          <w:szCs w:val="20"/>
          <w:lang w:val="fr-FR"/>
        </w:rPr>
        <w:t xml:space="preserve"> à l'opérateur-utilisateur qui fréquente le CTA à concurrence de 25 € maximum par élève et par nuit si et seulement si :</w:t>
      </w:r>
    </w:p>
    <w:p>
      <w:pPr>
        <w:numPr>
          <w:ilvl w:val="1"/>
          <w:numId w:val="123"/>
        </w:numPr>
        <w:tabs>
          <w:tab w:val="clear" w:pos="1440"/>
          <w:tab w:val="num" w:pos="851"/>
        </w:tabs>
        <w:spacing w:after="120" w:line="276" w:lineRule="auto"/>
        <w:ind w:left="850" w:hanging="357"/>
        <w:jc w:val="both"/>
        <w:rPr>
          <w:rFonts w:asciiTheme="minorHAnsi" w:hAnsiTheme="minorHAnsi" w:cstheme="minorHAnsi"/>
          <w:sz w:val="20"/>
          <w:szCs w:val="20"/>
        </w:rPr>
      </w:pPr>
      <w:r>
        <w:rPr>
          <w:rFonts w:asciiTheme="minorHAnsi" w:hAnsiTheme="minorHAnsi" w:cstheme="minorHAnsi"/>
          <w:sz w:val="20"/>
          <w:szCs w:val="20"/>
        </w:rPr>
        <w:t xml:space="preserve">la formation a une durée d'au moins </w:t>
      </w:r>
      <w:r>
        <w:rPr>
          <w:rFonts w:asciiTheme="minorHAnsi" w:hAnsiTheme="minorHAnsi" w:cstheme="minorHAnsi"/>
          <w:b/>
          <w:sz w:val="20"/>
          <w:szCs w:val="20"/>
        </w:rPr>
        <w:t>deux jours consécutifs</w:t>
      </w:r>
      <w:r>
        <w:rPr>
          <w:rFonts w:asciiTheme="minorHAnsi" w:hAnsiTheme="minorHAnsi" w:cstheme="minorHAnsi"/>
          <w:sz w:val="20"/>
          <w:szCs w:val="20"/>
        </w:rPr>
        <w:t> ;</w:t>
      </w:r>
    </w:p>
    <w:p>
      <w:pPr>
        <w:numPr>
          <w:ilvl w:val="1"/>
          <w:numId w:val="123"/>
        </w:numPr>
        <w:tabs>
          <w:tab w:val="clear" w:pos="1440"/>
          <w:tab w:val="num" w:pos="851"/>
        </w:tabs>
        <w:spacing w:after="120" w:line="276" w:lineRule="auto"/>
        <w:ind w:left="850" w:hanging="357"/>
        <w:jc w:val="both"/>
        <w:rPr>
          <w:rFonts w:asciiTheme="minorHAnsi" w:hAnsiTheme="minorHAnsi" w:cstheme="minorHAnsi"/>
          <w:b/>
          <w:sz w:val="20"/>
          <w:szCs w:val="20"/>
          <w:u w:val="single"/>
          <w:lang w:val="fr-FR"/>
        </w:rPr>
      </w:pPr>
      <w:r>
        <w:rPr>
          <w:rFonts w:asciiTheme="minorHAnsi" w:hAnsiTheme="minorHAnsi" w:cstheme="minorHAnsi"/>
          <w:sz w:val="20"/>
          <w:szCs w:val="20"/>
        </w:rPr>
        <w:t>la distance à parcourir entre l'établissement scolaire et le CTA est supérieure à 100 km par trajet simple.</w:t>
      </w:r>
      <w:r>
        <w:rPr>
          <w:rFonts w:asciiTheme="minorHAnsi" w:hAnsiTheme="minorHAnsi" w:cstheme="minorHAnsi"/>
          <w:b/>
          <w:sz w:val="20"/>
          <w:szCs w:val="20"/>
          <w:u w:val="single"/>
          <w:lang w:val="fr-FR"/>
        </w:rPr>
        <w:br w:type="page"/>
      </w:r>
    </w:p>
    <w:p>
      <w:pPr>
        <w:autoSpaceDE w:val="0"/>
        <w:autoSpaceDN w:val="0"/>
        <w:adjustRightInd w:val="0"/>
        <w:spacing w:after="120" w:line="276" w:lineRule="auto"/>
        <w:ind w:left="851"/>
        <w:jc w:val="both"/>
        <w:rPr>
          <w:rFonts w:asciiTheme="minorHAnsi" w:hAnsiTheme="minorHAnsi" w:cstheme="minorHAnsi"/>
          <w:sz w:val="20"/>
          <w:szCs w:val="20"/>
          <w:lang w:val="fr-FR"/>
        </w:rPr>
      </w:pPr>
      <w:r>
        <w:rPr>
          <w:rFonts w:asciiTheme="minorHAnsi" w:hAnsiTheme="minorHAnsi" w:cstheme="minorHAnsi"/>
          <w:b/>
          <w:sz w:val="20"/>
          <w:szCs w:val="20"/>
          <w:u w:val="single"/>
          <w:lang w:val="fr-FR"/>
        </w:rPr>
        <w:lastRenderedPageBreak/>
        <w:t>Remarque</w:t>
      </w:r>
      <w:r>
        <w:rPr>
          <w:rFonts w:asciiTheme="minorHAnsi" w:hAnsiTheme="minorHAnsi" w:cstheme="minorHAnsi"/>
          <w:sz w:val="20"/>
          <w:szCs w:val="20"/>
          <w:lang w:val="fr-FR"/>
        </w:rPr>
        <w:t> : Les demandes de prise en charge des frais d’hébergement pour des déplacements situés entre 70 et 100 km par trajet simple pourront cependant être prises en considération sur présentation d’un dossier et pour autant que celui-ci démontre qu’il serait moins onéreux de loger à proximité du CTA plutôt que d’effectuer des trajets répétés.</w:t>
      </w:r>
    </w:p>
    <w:p>
      <w:pPr>
        <w:autoSpaceDE w:val="0"/>
        <w:autoSpaceDN w:val="0"/>
        <w:adjustRightInd w:val="0"/>
        <w:spacing w:line="276" w:lineRule="auto"/>
        <w:jc w:val="both"/>
        <w:rPr>
          <w:rFonts w:asciiTheme="minorHAnsi" w:hAnsiTheme="minorHAnsi" w:cstheme="minorHAnsi"/>
          <w:sz w:val="20"/>
          <w:szCs w:val="20"/>
          <w:lang w:val="fr-FR"/>
        </w:rPr>
      </w:pPr>
      <w:r>
        <w:rPr>
          <w:rFonts w:asciiTheme="minorHAnsi" w:hAnsiTheme="minorHAnsi" w:cstheme="minorHAnsi"/>
          <w:b/>
          <w:sz w:val="20"/>
          <w:szCs w:val="20"/>
          <w:u w:val="single"/>
          <w:lang w:val="fr-FR"/>
        </w:rPr>
        <w:t>Attention</w:t>
      </w:r>
      <w:r>
        <w:rPr>
          <w:rFonts w:asciiTheme="minorHAnsi" w:hAnsiTheme="minorHAnsi" w:cstheme="minorHAnsi"/>
          <w:sz w:val="20"/>
          <w:szCs w:val="20"/>
          <w:lang w:val="fr-FR"/>
        </w:rPr>
        <w:t>, la Fédération Wallonie-Bruxelles ne prend pas en charge les frais liés aux repas.</w:t>
      </w:r>
    </w:p>
    <w:p>
      <w:pPr>
        <w:numPr>
          <w:ilvl w:val="1"/>
          <w:numId w:val="124"/>
        </w:numPr>
        <w:spacing w:before="120" w:after="120" w:line="276" w:lineRule="auto"/>
        <w:ind w:left="567" w:hanging="567"/>
        <w:jc w:val="both"/>
        <w:rPr>
          <w:rFonts w:asciiTheme="minorHAnsi" w:hAnsiTheme="minorHAnsi" w:cstheme="minorHAnsi"/>
          <w:b/>
          <w:i/>
          <w:sz w:val="28"/>
          <w:szCs w:val="28"/>
          <w:lang w:val="fr-FR"/>
        </w:rPr>
      </w:pPr>
      <w:r>
        <w:rPr>
          <w:rFonts w:asciiTheme="minorHAnsi" w:hAnsiTheme="minorHAnsi" w:cstheme="minorHAnsi"/>
          <w:b/>
          <w:i/>
          <w:sz w:val="28"/>
          <w:szCs w:val="28"/>
          <w:lang w:val="fr-FR"/>
        </w:rPr>
        <w:t>Précisions</w:t>
      </w:r>
    </w:p>
    <w:p>
      <w:pPr>
        <w:autoSpaceDE w:val="0"/>
        <w:autoSpaceDN w:val="0"/>
        <w:adjustRightInd w:val="0"/>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L’administration ne rembourse pas les frais de déplacement suivants :</w:t>
      </w:r>
    </w:p>
    <w:p>
      <w:pPr>
        <w:numPr>
          <w:ilvl w:val="1"/>
          <w:numId w:val="123"/>
        </w:numPr>
        <w:tabs>
          <w:tab w:val="clear" w:pos="1440"/>
          <w:tab w:val="num" w:pos="851"/>
        </w:tabs>
        <w:spacing w:after="120"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Un enseignant venant en voiture alors que ses élèves font le trajet en car de l’école ou en transport en commun</w:t>
      </w:r>
    </w:p>
    <w:p>
      <w:pPr>
        <w:numPr>
          <w:ilvl w:val="1"/>
          <w:numId w:val="123"/>
        </w:numPr>
        <w:tabs>
          <w:tab w:val="clear" w:pos="1440"/>
          <w:tab w:val="num" w:pos="851"/>
        </w:tabs>
        <w:spacing w:after="120"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Un élève utilisant sa voiture</w:t>
      </w:r>
    </w:p>
    <w:p>
      <w:pPr>
        <w:numPr>
          <w:ilvl w:val="1"/>
          <w:numId w:val="123"/>
        </w:numPr>
        <w:tabs>
          <w:tab w:val="clear" w:pos="1440"/>
          <w:tab w:val="num" w:pos="851"/>
        </w:tabs>
        <w:spacing w:after="120" w:line="276" w:lineRule="auto"/>
        <w:ind w:left="851" w:hanging="357"/>
        <w:jc w:val="both"/>
        <w:rPr>
          <w:rFonts w:asciiTheme="minorHAnsi" w:hAnsiTheme="minorHAnsi" w:cstheme="minorHAnsi"/>
          <w:sz w:val="20"/>
          <w:szCs w:val="20"/>
        </w:rPr>
      </w:pPr>
      <w:r>
        <w:rPr>
          <w:rFonts w:asciiTheme="minorHAnsi" w:hAnsiTheme="minorHAnsi" w:cstheme="minorHAnsi"/>
          <w:sz w:val="20"/>
          <w:szCs w:val="20"/>
        </w:rPr>
        <w:t>Un enseignant d’un établissement organisant un CTA en son sein et demandant un remboursement entre son domicile et ce CTA</w:t>
      </w:r>
    </w:p>
    <w:p>
      <w:pPr>
        <w:numPr>
          <w:ilvl w:val="1"/>
          <w:numId w:val="123"/>
        </w:numPr>
        <w:tabs>
          <w:tab w:val="clear" w:pos="1440"/>
          <w:tab w:val="num" w:pos="851"/>
        </w:tabs>
        <w:spacing w:after="120" w:line="276" w:lineRule="auto"/>
        <w:ind w:left="850" w:hanging="357"/>
        <w:jc w:val="both"/>
        <w:rPr>
          <w:rFonts w:asciiTheme="minorHAnsi" w:hAnsiTheme="minorHAnsi" w:cstheme="minorHAnsi"/>
          <w:sz w:val="20"/>
          <w:szCs w:val="20"/>
        </w:rPr>
      </w:pPr>
      <w:r>
        <w:rPr>
          <w:rFonts w:asciiTheme="minorHAnsi" w:hAnsiTheme="minorHAnsi" w:cstheme="minorHAnsi"/>
          <w:sz w:val="20"/>
          <w:szCs w:val="20"/>
        </w:rPr>
        <w:t>Un abonnement aux transports en commun</w:t>
      </w:r>
    </w:p>
    <w:p>
      <w:pPr>
        <w:autoSpaceDE w:val="0"/>
        <w:autoSpaceDN w:val="0"/>
        <w:adjustRightInd w:val="0"/>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Elle ne rembourse pas non plus d’éventuels frais de parking ou de repas.</w:t>
      </w:r>
    </w:p>
    <w:p>
      <w:pPr>
        <w:numPr>
          <w:ilvl w:val="0"/>
          <w:numId w:val="126"/>
        </w:numPr>
        <w:spacing w:before="240" w:after="240" w:line="276" w:lineRule="auto"/>
        <w:ind w:left="425" w:hanging="425"/>
        <w:jc w:val="both"/>
        <w:rPr>
          <w:rFonts w:asciiTheme="minorHAnsi" w:hAnsiTheme="minorHAnsi" w:cstheme="minorHAnsi"/>
          <w:b/>
          <w:sz w:val="32"/>
          <w:szCs w:val="32"/>
          <w:u w:val="single"/>
        </w:rPr>
      </w:pPr>
      <w:r>
        <w:rPr>
          <w:rFonts w:asciiTheme="minorHAnsi" w:hAnsiTheme="minorHAnsi" w:cstheme="minorHAnsi"/>
          <w:b/>
          <w:sz w:val="32"/>
          <w:szCs w:val="32"/>
          <w:u w:val="single"/>
        </w:rPr>
        <w:t>Procédure de remboursement</w:t>
      </w:r>
    </w:p>
    <w:p>
      <w:pPr>
        <w:autoSpaceDE w:val="0"/>
        <w:autoSpaceDN w:val="0"/>
        <w:adjustRightInd w:val="0"/>
        <w:spacing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L’administration se réserve le droit de demander toute information complémentaire nécessaire au traitement de la demande de remboursement. Tout dossier incomplet sera classé sans suite.</w:t>
      </w:r>
    </w:p>
    <w:p>
      <w:pPr>
        <w:autoSpaceDE w:val="0"/>
        <w:autoSpaceDN w:val="0"/>
        <w:adjustRightInd w:val="0"/>
        <w:spacing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Toute demande particulière sera analysée au cas par cas.</w:t>
      </w:r>
    </w:p>
    <w:p>
      <w:pPr>
        <w:numPr>
          <w:ilvl w:val="1"/>
          <w:numId w:val="126"/>
        </w:numPr>
        <w:spacing w:before="120" w:after="120" w:line="276" w:lineRule="auto"/>
        <w:ind w:left="709"/>
        <w:jc w:val="both"/>
        <w:rPr>
          <w:rFonts w:asciiTheme="minorHAnsi" w:hAnsiTheme="minorHAnsi" w:cstheme="minorHAnsi"/>
          <w:b/>
          <w:i/>
          <w:sz w:val="28"/>
          <w:szCs w:val="28"/>
          <w:lang w:val="fr-FR"/>
        </w:rPr>
      </w:pPr>
      <w:r>
        <w:rPr>
          <w:rFonts w:asciiTheme="minorHAnsi" w:hAnsiTheme="minorHAnsi" w:cstheme="minorHAnsi"/>
          <w:b/>
          <w:i/>
          <w:sz w:val="28"/>
          <w:szCs w:val="28"/>
          <w:lang w:val="fr-FR"/>
        </w:rPr>
        <w:t>Composition d’un dossier de demande de remboursement</w:t>
      </w:r>
    </w:p>
    <w:p>
      <w:pPr>
        <w:spacing w:after="120" w:line="276" w:lineRule="auto"/>
        <w:jc w:val="both"/>
        <w:rPr>
          <w:rFonts w:ascii="Calibri" w:hAnsi="Calibri" w:cs="Calibri"/>
          <w:sz w:val="20"/>
          <w:szCs w:val="20"/>
          <w:lang w:val="fr-FR"/>
        </w:rPr>
      </w:pPr>
      <w:r>
        <w:rPr>
          <w:rFonts w:ascii="Calibri" w:hAnsi="Calibri" w:cs="Calibri"/>
          <w:sz w:val="20"/>
          <w:szCs w:val="20"/>
          <w:lang w:val="fr-FR"/>
        </w:rPr>
        <w:t>Le dossier de demande de remboursement comporte le ou les documents suivants en fonction du cas de figure :</w:t>
      </w:r>
    </w:p>
    <w:p>
      <w:pPr>
        <w:numPr>
          <w:ilvl w:val="0"/>
          <w:numId w:val="122"/>
        </w:numPr>
        <w:spacing w:after="120" w:line="276" w:lineRule="auto"/>
        <w:jc w:val="both"/>
        <w:rPr>
          <w:rFonts w:ascii="Calibri" w:hAnsi="Calibri" w:cs="Calibri"/>
          <w:sz w:val="20"/>
          <w:szCs w:val="20"/>
          <w:lang w:val="fr-FR"/>
        </w:rPr>
      </w:pPr>
      <w:r>
        <w:rPr>
          <w:rFonts w:ascii="Calibri" w:hAnsi="Calibri" w:cs="Calibri"/>
          <w:sz w:val="20"/>
          <w:szCs w:val="20"/>
          <w:lang w:val="fr-FR"/>
        </w:rPr>
        <w:t xml:space="preserve">une </w:t>
      </w:r>
      <w:r>
        <w:rPr>
          <w:rFonts w:ascii="Calibri" w:hAnsi="Calibri" w:cs="Calibri"/>
          <w:b/>
          <w:sz w:val="20"/>
          <w:szCs w:val="20"/>
          <w:lang w:val="fr-FR"/>
        </w:rPr>
        <w:t>déclaration sur l’honneur</w:t>
      </w:r>
      <w:r>
        <w:rPr>
          <w:rFonts w:ascii="Calibri" w:hAnsi="Calibri" w:cs="Calibri"/>
          <w:sz w:val="20"/>
          <w:szCs w:val="20"/>
          <w:lang w:val="fr-FR"/>
        </w:rPr>
        <w:t xml:space="preserve"> pour le remboursement de </w:t>
      </w:r>
      <w:r>
        <w:rPr>
          <w:rFonts w:ascii="Calibri" w:hAnsi="Calibri" w:cs="Calibri"/>
          <w:b/>
          <w:sz w:val="20"/>
          <w:szCs w:val="20"/>
          <w:lang w:val="fr-FR"/>
        </w:rPr>
        <w:t>frais de déplacement</w:t>
      </w:r>
      <w:r>
        <w:rPr>
          <w:rFonts w:ascii="Calibri" w:hAnsi="Calibri" w:cs="Calibri"/>
          <w:sz w:val="20"/>
          <w:szCs w:val="20"/>
          <w:lang w:val="fr-FR"/>
        </w:rPr>
        <w:t xml:space="preserve"> occasionnés lors d’une formation en CTA – Déplacement en </w:t>
      </w:r>
      <w:r>
        <w:rPr>
          <w:rFonts w:ascii="Calibri" w:hAnsi="Calibri" w:cs="Calibri"/>
          <w:b/>
          <w:sz w:val="20"/>
          <w:szCs w:val="20"/>
          <w:lang w:val="fr-FR"/>
        </w:rPr>
        <w:t>autocar de l’école</w:t>
      </w:r>
    </w:p>
    <w:p>
      <w:pPr>
        <w:spacing w:after="120" w:line="276" w:lineRule="auto"/>
        <w:ind w:left="720"/>
        <w:jc w:val="both"/>
        <w:rPr>
          <w:rFonts w:ascii="Calibri" w:hAnsi="Calibri" w:cs="Calibri"/>
          <w:sz w:val="20"/>
          <w:szCs w:val="20"/>
          <w:lang w:val="fr-FR"/>
        </w:rPr>
      </w:pPr>
      <w:r>
        <w:rPr>
          <w:rFonts w:ascii="Calibri" w:hAnsi="Calibri" w:cs="Calibri"/>
          <w:sz w:val="20"/>
          <w:szCs w:val="20"/>
          <w:lang w:val="fr-FR"/>
        </w:rPr>
        <w:t>Ce document est complété, signé et cacheté par le chef d’établissement ou l’économe.</w:t>
      </w:r>
    </w:p>
    <w:p>
      <w:pPr>
        <w:numPr>
          <w:ilvl w:val="0"/>
          <w:numId w:val="122"/>
        </w:numPr>
        <w:spacing w:after="120" w:line="276" w:lineRule="auto"/>
        <w:jc w:val="both"/>
        <w:rPr>
          <w:rFonts w:ascii="Calibri" w:hAnsi="Calibri" w:cs="Calibri"/>
          <w:sz w:val="20"/>
          <w:szCs w:val="20"/>
          <w:lang w:val="fr-FR"/>
        </w:rPr>
      </w:pPr>
      <w:r>
        <w:rPr>
          <w:rFonts w:ascii="Calibri" w:hAnsi="Calibri" w:cs="Calibri"/>
          <w:sz w:val="20"/>
          <w:szCs w:val="20"/>
          <w:lang w:val="fr-FR"/>
        </w:rPr>
        <w:t xml:space="preserve">une </w:t>
      </w:r>
      <w:r>
        <w:rPr>
          <w:rFonts w:ascii="Calibri" w:hAnsi="Calibri" w:cs="Calibri"/>
          <w:b/>
          <w:sz w:val="20"/>
          <w:szCs w:val="20"/>
          <w:lang w:val="fr-FR"/>
        </w:rPr>
        <w:t>déclaration sur l’honneur</w:t>
      </w:r>
      <w:r>
        <w:rPr>
          <w:rFonts w:ascii="Calibri" w:hAnsi="Calibri" w:cs="Calibri"/>
          <w:sz w:val="20"/>
          <w:szCs w:val="20"/>
          <w:lang w:val="fr-FR"/>
        </w:rPr>
        <w:t xml:space="preserve"> pour le remboursement de</w:t>
      </w:r>
      <w:r>
        <w:rPr>
          <w:rFonts w:ascii="Calibri" w:hAnsi="Calibri" w:cs="Calibri"/>
          <w:b/>
          <w:sz w:val="20"/>
          <w:szCs w:val="20"/>
          <w:lang w:val="fr-FR"/>
        </w:rPr>
        <w:t xml:space="preserve"> frais de déplacement</w:t>
      </w:r>
      <w:r>
        <w:rPr>
          <w:rFonts w:ascii="Calibri" w:hAnsi="Calibri" w:cs="Calibri"/>
          <w:sz w:val="20"/>
          <w:szCs w:val="20"/>
          <w:lang w:val="fr-FR"/>
        </w:rPr>
        <w:t xml:space="preserve"> occasionnés lors d’une formation en CTA – Déplacement en </w:t>
      </w:r>
      <w:r>
        <w:rPr>
          <w:rFonts w:ascii="Calibri" w:hAnsi="Calibri" w:cs="Calibri"/>
          <w:b/>
          <w:sz w:val="20"/>
          <w:szCs w:val="20"/>
          <w:lang w:val="fr-FR"/>
        </w:rPr>
        <w:t>voiture</w:t>
      </w:r>
    </w:p>
    <w:p>
      <w:pPr>
        <w:spacing w:after="120" w:line="276" w:lineRule="auto"/>
        <w:ind w:left="720"/>
        <w:jc w:val="both"/>
        <w:rPr>
          <w:rFonts w:ascii="Calibri" w:hAnsi="Calibri" w:cs="Calibri"/>
          <w:sz w:val="20"/>
          <w:szCs w:val="20"/>
          <w:lang w:val="fr-FR"/>
        </w:rPr>
      </w:pPr>
      <w:r>
        <w:rPr>
          <w:rFonts w:ascii="Calibri" w:hAnsi="Calibri" w:cs="Calibri"/>
          <w:sz w:val="20"/>
          <w:szCs w:val="20"/>
          <w:lang w:val="fr-FR"/>
        </w:rPr>
        <w:t>Ce document est complété, signé et cacheté par l’enseignant. Il doit être accompagné d’un relevé d’identité bancaire.</w:t>
      </w:r>
    </w:p>
    <w:p>
      <w:pPr>
        <w:numPr>
          <w:ilvl w:val="0"/>
          <w:numId w:val="122"/>
        </w:numPr>
        <w:spacing w:after="120" w:line="276" w:lineRule="auto"/>
        <w:jc w:val="both"/>
        <w:rPr>
          <w:rFonts w:ascii="Calibri" w:hAnsi="Calibri" w:cs="Calibri"/>
          <w:sz w:val="20"/>
          <w:szCs w:val="20"/>
          <w:lang w:val="fr-FR"/>
        </w:rPr>
      </w:pPr>
      <w:r>
        <w:rPr>
          <w:rFonts w:ascii="Calibri" w:hAnsi="Calibri" w:cs="Calibri"/>
          <w:sz w:val="20"/>
          <w:szCs w:val="20"/>
          <w:lang w:val="fr-FR"/>
        </w:rPr>
        <w:t xml:space="preserve">une </w:t>
      </w:r>
      <w:r>
        <w:rPr>
          <w:rFonts w:ascii="Calibri" w:hAnsi="Calibri" w:cs="Calibri"/>
          <w:b/>
          <w:sz w:val="20"/>
          <w:szCs w:val="20"/>
          <w:lang w:val="fr-FR"/>
        </w:rPr>
        <w:t>déclaration de créance</w:t>
      </w:r>
      <w:r>
        <w:rPr>
          <w:rFonts w:ascii="Calibri" w:hAnsi="Calibri" w:cs="Calibri"/>
          <w:sz w:val="20"/>
          <w:szCs w:val="20"/>
          <w:lang w:val="fr-FR"/>
        </w:rPr>
        <w:t xml:space="preserve"> pour le remboursement de </w:t>
      </w:r>
      <w:r>
        <w:rPr>
          <w:rFonts w:ascii="Calibri" w:hAnsi="Calibri" w:cs="Calibri"/>
          <w:b/>
          <w:sz w:val="20"/>
          <w:szCs w:val="20"/>
          <w:lang w:val="fr-FR"/>
        </w:rPr>
        <w:t>frais de déplacement</w:t>
      </w:r>
      <w:r>
        <w:rPr>
          <w:rFonts w:ascii="Calibri" w:hAnsi="Calibri" w:cs="Calibri"/>
          <w:sz w:val="20"/>
          <w:szCs w:val="20"/>
          <w:lang w:val="fr-FR"/>
        </w:rPr>
        <w:t xml:space="preserve"> occasionnés lors d’une formation en CTA – Location d’un </w:t>
      </w:r>
      <w:r>
        <w:rPr>
          <w:rFonts w:ascii="Calibri" w:hAnsi="Calibri" w:cs="Calibri"/>
          <w:b/>
          <w:sz w:val="20"/>
          <w:szCs w:val="20"/>
          <w:lang w:val="fr-FR"/>
        </w:rPr>
        <w:t>véhicule</w:t>
      </w:r>
    </w:p>
    <w:p>
      <w:pPr>
        <w:spacing w:after="120" w:line="276" w:lineRule="auto"/>
        <w:ind w:left="720"/>
        <w:jc w:val="both"/>
        <w:rPr>
          <w:rFonts w:ascii="Calibri" w:hAnsi="Calibri" w:cs="Calibri"/>
          <w:sz w:val="20"/>
          <w:szCs w:val="20"/>
          <w:lang w:val="fr-FR"/>
        </w:rPr>
      </w:pPr>
      <w:r>
        <w:rPr>
          <w:rFonts w:ascii="Calibri" w:hAnsi="Calibri" w:cs="Calibri"/>
          <w:sz w:val="20"/>
          <w:szCs w:val="20"/>
          <w:lang w:val="fr-FR"/>
        </w:rPr>
        <w:t>Ce document est complété, signé et cacheté par le chef d’établissement ou l’économe. Il faut alors y joindre la facture (ou la copie certifiée conforme par le chef d’établissement ou l’économe) ainsi que la preuve de paiement.</w:t>
      </w:r>
    </w:p>
    <w:p>
      <w:pPr>
        <w:numPr>
          <w:ilvl w:val="0"/>
          <w:numId w:val="122"/>
        </w:numPr>
        <w:spacing w:after="120" w:line="276" w:lineRule="auto"/>
        <w:jc w:val="both"/>
        <w:rPr>
          <w:rFonts w:ascii="Calibri" w:hAnsi="Calibri" w:cs="Calibri"/>
          <w:sz w:val="20"/>
          <w:szCs w:val="20"/>
          <w:lang w:val="fr-FR"/>
        </w:rPr>
      </w:pPr>
      <w:r>
        <w:rPr>
          <w:rFonts w:ascii="Calibri" w:hAnsi="Calibri" w:cs="Calibri"/>
          <w:sz w:val="20"/>
          <w:szCs w:val="20"/>
          <w:lang w:val="fr-FR"/>
        </w:rPr>
        <w:t xml:space="preserve">une </w:t>
      </w:r>
      <w:r>
        <w:rPr>
          <w:rFonts w:ascii="Calibri" w:hAnsi="Calibri" w:cs="Calibri"/>
          <w:b/>
          <w:sz w:val="20"/>
          <w:szCs w:val="20"/>
          <w:lang w:val="fr-FR"/>
        </w:rPr>
        <w:t>déclaration de créance</w:t>
      </w:r>
      <w:r>
        <w:rPr>
          <w:rFonts w:ascii="Calibri" w:hAnsi="Calibri" w:cs="Calibri"/>
          <w:sz w:val="20"/>
          <w:szCs w:val="20"/>
          <w:lang w:val="fr-FR"/>
        </w:rPr>
        <w:t xml:space="preserve"> pour le remboursement de </w:t>
      </w:r>
      <w:r>
        <w:rPr>
          <w:rFonts w:ascii="Calibri" w:hAnsi="Calibri" w:cs="Calibri"/>
          <w:b/>
          <w:sz w:val="20"/>
          <w:szCs w:val="20"/>
          <w:lang w:val="fr-FR"/>
        </w:rPr>
        <w:t>frais de déplacement</w:t>
      </w:r>
      <w:r>
        <w:rPr>
          <w:rFonts w:ascii="Calibri" w:hAnsi="Calibri" w:cs="Calibri"/>
          <w:sz w:val="20"/>
          <w:szCs w:val="20"/>
          <w:lang w:val="fr-FR"/>
        </w:rPr>
        <w:t xml:space="preserve"> occasionnés lors d’une formation en CTA – Déplacement en </w:t>
      </w:r>
      <w:r>
        <w:rPr>
          <w:rFonts w:ascii="Calibri" w:hAnsi="Calibri" w:cs="Calibri"/>
          <w:b/>
          <w:sz w:val="20"/>
          <w:szCs w:val="20"/>
          <w:lang w:val="fr-FR"/>
        </w:rPr>
        <w:t xml:space="preserve">transport en commun </w:t>
      </w:r>
      <w:r>
        <w:rPr>
          <w:rFonts w:ascii="Calibri" w:hAnsi="Calibri" w:cs="Calibri"/>
          <w:sz w:val="20"/>
          <w:szCs w:val="20"/>
          <w:lang w:val="fr-FR"/>
        </w:rPr>
        <w:t>(pour un établissement scolaire)</w:t>
      </w:r>
    </w:p>
    <w:p>
      <w:pPr>
        <w:spacing w:after="120" w:line="276" w:lineRule="auto"/>
        <w:ind w:left="720"/>
        <w:jc w:val="both"/>
        <w:rPr>
          <w:rFonts w:ascii="Calibri" w:hAnsi="Calibri" w:cs="Calibri"/>
          <w:sz w:val="20"/>
          <w:szCs w:val="20"/>
          <w:lang w:val="fr-FR"/>
        </w:rPr>
      </w:pPr>
      <w:r>
        <w:rPr>
          <w:rFonts w:ascii="Calibri" w:hAnsi="Calibri" w:cs="Calibri"/>
          <w:sz w:val="20"/>
          <w:szCs w:val="20"/>
          <w:lang w:val="fr-FR"/>
        </w:rPr>
        <w:t>Ce document est complété, signé et cacheté par le chef d’établissement ou l’économe. Il faut alors y joindre les tickets de transport (ou la copie certifiée conforme par le chef d’établissement ou l’économe).</w:t>
      </w:r>
    </w:p>
    <w:p>
      <w:pPr>
        <w:rPr>
          <w:rFonts w:ascii="Calibri" w:hAnsi="Calibri" w:cs="Calibri"/>
          <w:sz w:val="20"/>
          <w:szCs w:val="20"/>
          <w:lang w:val="fr-FR"/>
        </w:rPr>
      </w:pPr>
      <w:r>
        <w:rPr>
          <w:rFonts w:ascii="Calibri" w:hAnsi="Calibri" w:cs="Calibri"/>
          <w:sz w:val="20"/>
          <w:szCs w:val="20"/>
          <w:lang w:val="fr-FR"/>
        </w:rPr>
        <w:br w:type="page"/>
      </w:r>
    </w:p>
    <w:p>
      <w:pPr>
        <w:numPr>
          <w:ilvl w:val="0"/>
          <w:numId w:val="122"/>
        </w:numPr>
        <w:spacing w:after="120" w:line="276" w:lineRule="auto"/>
        <w:jc w:val="both"/>
        <w:rPr>
          <w:rFonts w:ascii="Calibri" w:hAnsi="Calibri" w:cs="Calibri"/>
          <w:sz w:val="20"/>
          <w:szCs w:val="20"/>
          <w:lang w:val="fr-FR"/>
        </w:rPr>
      </w:pPr>
      <w:r>
        <w:rPr>
          <w:rFonts w:ascii="Calibri" w:hAnsi="Calibri" w:cs="Calibri"/>
          <w:sz w:val="20"/>
          <w:szCs w:val="20"/>
          <w:lang w:val="fr-FR"/>
        </w:rPr>
        <w:lastRenderedPageBreak/>
        <w:t xml:space="preserve">une </w:t>
      </w:r>
      <w:r>
        <w:rPr>
          <w:rFonts w:ascii="Calibri" w:hAnsi="Calibri" w:cs="Calibri"/>
          <w:b/>
          <w:sz w:val="20"/>
          <w:szCs w:val="20"/>
          <w:lang w:val="fr-FR"/>
        </w:rPr>
        <w:t>déclaration de créance</w:t>
      </w:r>
      <w:r>
        <w:rPr>
          <w:rFonts w:ascii="Calibri" w:hAnsi="Calibri" w:cs="Calibri"/>
          <w:sz w:val="20"/>
          <w:szCs w:val="20"/>
          <w:lang w:val="fr-FR"/>
        </w:rPr>
        <w:t xml:space="preserve"> pour le remboursement de </w:t>
      </w:r>
      <w:r>
        <w:rPr>
          <w:rFonts w:ascii="Calibri" w:hAnsi="Calibri" w:cs="Calibri"/>
          <w:b/>
          <w:sz w:val="20"/>
          <w:szCs w:val="20"/>
          <w:lang w:val="fr-FR"/>
        </w:rPr>
        <w:t>frais de déplacement</w:t>
      </w:r>
      <w:r>
        <w:rPr>
          <w:rFonts w:ascii="Calibri" w:hAnsi="Calibri" w:cs="Calibri"/>
          <w:sz w:val="20"/>
          <w:szCs w:val="20"/>
          <w:lang w:val="fr-FR"/>
        </w:rPr>
        <w:t xml:space="preserve"> occasionnés lors d’une formation en CTA – Déplacement en </w:t>
      </w:r>
      <w:r>
        <w:rPr>
          <w:rFonts w:ascii="Calibri" w:hAnsi="Calibri" w:cs="Calibri"/>
          <w:b/>
          <w:sz w:val="20"/>
          <w:szCs w:val="20"/>
          <w:lang w:val="fr-FR"/>
        </w:rPr>
        <w:t xml:space="preserve">transport en commun </w:t>
      </w:r>
      <w:r>
        <w:rPr>
          <w:rFonts w:ascii="Calibri" w:hAnsi="Calibri" w:cs="Calibri"/>
          <w:sz w:val="20"/>
          <w:szCs w:val="20"/>
          <w:lang w:val="fr-FR"/>
        </w:rPr>
        <w:t>(pour un enseignant)</w:t>
      </w:r>
    </w:p>
    <w:p>
      <w:pPr>
        <w:spacing w:after="120" w:line="276" w:lineRule="auto"/>
        <w:ind w:left="720"/>
        <w:jc w:val="both"/>
        <w:rPr>
          <w:rFonts w:ascii="Calibri" w:hAnsi="Calibri" w:cs="Calibri"/>
          <w:sz w:val="20"/>
          <w:szCs w:val="20"/>
          <w:lang w:val="fr-FR"/>
        </w:rPr>
      </w:pPr>
      <w:r>
        <w:rPr>
          <w:rFonts w:ascii="Calibri" w:hAnsi="Calibri" w:cs="Calibri"/>
          <w:sz w:val="20"/>
          <w:szCs w:val="20"/>
          <w:lang w:val="fr-FR"/>
        </w:rPr>
        <w:t>Ce document est complété, signé et cacheté par l’enseignant. Il faut alors y joindre les tickets de transport (ou la copie certifiée conforme par le chef d’établissement ou l’économe), ainsi qu’un relevé d’identité bancaire.</w:t>
      </w:r>
    </w:p>
    <w:p>
      <w:pPr>
        <w:numPr>
          <w:ilvl w:val="0"/>
          <w:numId w:val="122"/>
        </w:numPr>
        <w:spacing w:after="120" w:line="276" w:lineRule="auto"/>
        <w:jc w:val="both"/>
        <w:rPr>
          <w:rFonts w:ascii="Calibri" w:hAnsi="Calibri" w:cs="Calibri"/>
          <w:sz w:val="20"/>
          <w:szCs w:val="20"/>
          <w:lang w:val="fr-FR"/>
        </w:rPr>
      </w:pPr>
      <w:r>
        <w:rPr>
          <w:rFonts w:ascii="Calibri" w:hAnsi="Calibri" w:cs="Calibri"/>
          <w:sz w:val="20"/>
          <w:szCs w:val="20"/>
          <w:lang w:val="fr-FR"/>
        </w:rPr>
        <w:t xml:space="preserve">une </w:t>
      </w:r>
      <w:r>
        <w:rPr>
          <w:rFonts w:ascii="Calibri" w:hAnsi="Calibri" w:cs="Calibri"/>
          <w:b/>
          <w:sz w:val="20"/>
          <w:szCs w:val="20"/>
          <w:lang w:val="fr-FR"/>
        </w:rPr>
        <w:t>déclaration de créance</w:t>
      </w:r>
      <w:r>
        <w:rPr>
          <w:rFonts w:ascii="Calibri" w:hAnsi="Calibri" w:cs="Calibri"/>
          <w:sz w:val="20"/>
          <w:szCs w:val="20"/>
          <w:lang w:val="fr-FR"/>
        </w:rPr>
        <w:t xml:space="preserve"> pour le remboursement de </w:t>
      </w:r>
      <w:r>
        <w:rPr>
          <w:rFonts w:ascii="Calibri" w:hAnsi="Calibri" w:cs="Calibri"/>
          <w:b/>
          <w:sz w:val="20"/>
          <w:szCs w:val="20"/>
          <w:lang w:val="fr-FR"/>
        </w:rPr>
        <w:t>frais d’hébergement</w:t>
      </w:r>
      <w:r>
        <w:rPr>
          <w:rFonts w:ascii="Calibri" w:hAnsi="Calibri" w:cs="Calibri"/>
          <w:sz w:val="20"/>
          <w:szCs w:val="20"/>
          <w:lang w:val="fr-FR"/>
        </w:rPr>
        <w:t xml:space="preserve"> occasionnés lors d’une formation en CTA </w:t>
      </w:r>
    </w:p>
    <w:p>
      <w:pPr>
        <w:pStyle w:val="Paragraphedeliste"/>
        <w:spacing w:after="120" w:line="276" w:lineRule="auto"/>
        <w:ind w:left="720"/>
        <w:jc w:val="both"/>
        <w:rPr>
          <w:rFonts w:ascii="Calibri" w:hAnsi="Calibri" w:cs="Calibri"/>
          <w:sz w:val="20"/>
          <w:szCs w:val="20"/>
        </w:rPr>
      </w:pPr>
      <w:r>
        <w:rPr>
          <w:rFonts w:ascii="Calibri" w:hAnsi="Calibri" w:cs="Calibri"/>
          <w:sz w:val="20"/>
          <w:szCs w:val="20"/>
        </w:rPr>
        <w:t xml:space="preserve">Ce document est complété, signé et cacheté par le chef d’établissement ou l’économe. Outre les informations nécessaires au remboursement, il convient également d’y inscrire le nombre de personnes hébergées (accompagnateurs compris) et le nombre de nuitées et il faut y joindre la facture (ou la copie certifiée conforme par le chef d’établissement ou l’économe) ainsi que la preuve de paiement. </w:t>
      </w:r>
    </w:p>
    <w:p>
      <w:pPr>
        <w:spacing w:after="120" w:line="276" w:lineRule="auto"/>
        <w:jc w:val="both"/>
        <w:rPr>
          <w:rFonts w:ascii="Calibri" w:hAnsi="Calibri" w:cs="Calibri"/>
          <w:sz w:val="20"/>
          <w:szCs w:val="20"/>
          <w:lang w:val="fr-FR"/>
        </w:rPr>
      </w:pPr>
      <w:r>
        <w:rPr>
          <w:rFonts w:ascii="Calibri" w:hAnsi="Calibri" w:cs="Calibri"/>
          <w:sz w:val="20"/>
          <w:szCs w:val="20"/>
          <w:lang w:val="fr-FR"/>
        </w:rPr>
        <w:t xml:space="preserve">Toute demande de remboursement doit </w:t>
      </w:r>
      <w:r>
        <w:rPr>
          <w:rFonts w:ascii="Calibri" w:hAnsi="Calibri" w:cs="Calibri"/>
          <w:b/>
          <w:sz w:val="20"/>
          <w:szCs w:val="20"/>
          <w:u w:val="single"/>
          <w:lang w:val="fr-FR"/>
        </w:rPr>
        <w:t>impérativement être contresignée par le coordonnateur du CTA</w:t>
      </w:r>
      <w:r>
        <w:rPr>
          <w:rFonts w:ascii="Calibri" w:hAnsi="Calibri" w:cs="Calibri"/>
          <w:sz w:val="20"/>
          <w:szCs w:val="20"/>
          <w:lang w:val="fr-FR"/>
        </w:rPr>
        <w:t>.</w:t>
      </w:r>
    </w:p>
    <w:p>
      <w:pPr>
        <w:numPr>
          <w:ilvl w:val="1"/>
          <w:numId w:val="126"/>
        </w:numPr>
        <w:spacing w:before="120" w:after="120" w:line="276" w:lineRule="auto"/>
        <w:ind w:left="709"/>
        <w:jc w:val="both"/>
        <w:rPr>
          <w:rFonts w:asciiTheme="minorHAnsi" w:hAnsiTheme="minorHAnsi" w:cstheme="minorHAnsi"/>
          <w:b/>
          <w:i/>
          <w:sz w:val="28"/>
          <w:szCs w:val="28"/>
          <w:lang w:val="fr-FR"/>
        </w:rPr>
      </w:pPr>
      <w:r>
        <w:rPr>
          <w:rFonts w:asciiTheme="minorHAnsi" w:hAnsiTheme="minorHAnsi" w:cstheme="minorHAnsi"/>
          <w:b/>
          <w:i/>
          <w:sz w:val="28"/>
          <w:szCs w:val="28"/>
          <w:lang w:val="fr-FR"/>
        </w:rPr>
        <w:t>Informations devant obligatoirement se trouver sur les documents de demande de remboursement</w:t>
      </w:r>
    </w:p>
    <w:p>
      <w:pPr>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 xml:space="preserve">Chaque dossier de demande de remboursement pour frais de déplacement et/ou d’hébergement doit comprendre </w:t>
      </w:r>
      <w:r>
        <w:rPr>
          <w:rFonts w:asciiTheme="minorHAnsi" w:hAnsiTheme="minorHAnsi" w:cstheme="minorHAnsi"/>
          <w:b/>
          <w:sz w:val="20"/>
          <w:szCs w:val="20"/>
          <w:u w:val="single"/>
          <w:lang w:val="fr-FR"/>
        </w:rPr>
        <w:t>OBLIGATOIREMENT</w:t>
      </w:r>
      <w:r>
        <w:rPr>
          <w:rFonts w:asciiTheme="minorHAnsi" w:hAnsiTheme="minorHAnsi" w:cstheme="minorHAnsi"/>
          <w:sz w:val="20"/>
          <w:szCs w:val="20"/>
          <w:u w:val="single"/>
          <w:lang w:val="fr-FR"/>
        </w:rPr>
        <w:t xml:space="preserve"> </w:t>
      </w:r>
      <w:r>
        <w:rPr>
          <w:rFonts w:asciiTheme="minorHAnsi" w:hAnsiTheme="minorHAnsi" w:cstheme="minorHAnsi"/>
          <w:b/>
          <w:sz w:val="20"/>
          <w:szCs w:val="20"/>
          <w:u w:val="single"/>
          <w:lang w:val="fr-FR"/>
        </w:rPr>
        <w:t>TOUTES</w:t>
      </w:r>
      <w:r>
        <w:rPr>
          <w:rFonts w:asciiTheme="minorHAnsi" w:hAnsiTheme="minorHAnsi" w:cstheme="minorHAnsi"/>
          <w:sz w:val="20"/>
          <w:szCs w:val="20"/>
          <w:u w:val="single"/>
          <w:lang w:val="fr-FR"/>
        </w:rPr>
        <w:t xml:space="preserve"> </w:t>
      </w:r>
      <w:r>
        <w:rPr>
          <w:rFonts w:asciiTheme="minorHAnsi" w:hAnsiTheme="minorHAnsi" w:cstheme="minorHAnsi"/>
          <w:b/>
          <w:caps/>
          <w:sz w:val="20"/>
          <w:szCs w:val="20"/>
          <w:u w:val="single"/>
          <w:lang w:val="fr-FR"/>
        </w:rPr>
        <w:t>les informations</w:t>
      </w:r>
      <w:r>
        <w:rPr>
          <w:rFonts w:asciiTheme="minorHAnsi" w:hAnsiTheme="minorHAnsi" w:cstheme="minorHAnsi"/>
          <w:sz w:val="20"/>
          <w:szCs w:val="20"/>
          <w:u w:val="single"/>
          <w:lang w:val="fr-FR"/>
        </w:rPr>
        <w:t xml:space="preserve"> </w:t>
      </w:r>
      <w:r>
        <w:rPr>
          <w:rFonts w:asciiTheme="minorHAnsi" w:hAnsiTheme="minorHAnsi" w:cstheme="minorHAnsi"/>
          <w:b/>
          <w:caps/>
          <w:sz w:val="20"/>
          <w:szCs w:val="20"/>
          <w:u w:val="single"/>
          <w:lang w:val="fr-FR"/>
        </w:rPr>
        <w:t>demandées</w:t>
      </w:r>
      <w:r>
        <w:rPr>
          <w:rFonts w:asciiTheme="minorHAnsi" w:hAnsiTheme="minorHAnsi" w:cstheme="minorHAnsi"/>
          <w:sz w:val="20"/>
          <w:szCs w:val="20"/>
          <w:lang w:val="fr-FR"/>
        </w:rPr>
        <w:t xml:space="preserve"> sur la déclaration de créance ou la déclaration sur l’honneur.</w:t>
      </w:r>
    </w:p>
    <w:p>
      <w:pPr>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L’administration demandera, le cas échéant, un complément par courrier auprès du déclarant. Si aucune réponse ne lui parvient dans le mois suivant l’envoi de celui-ci, les frais ne seront pas remboursés et le déclarant en sera averti par écrit.</w:t>
      </w:r>
    </w:p>
    <w:p>
      <w:pPr>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Attention, toutes les déclarations doivent être datées de l’année au cours de laquelle la formation a été suivie. Dans le cas contraire, elles ne pourront être prises en compte.</w:t>
      </w:r>
    </w:p>
    <w:p>
      <w:pPr>
        <w:numPr>
          <w:ilvl w:val="1"/>
          <w:numId w:val="126"/>
        </w:numPr>
        <w:spacing w:before="120" w:after="120" w:line="276" w:lineRule="auto"/>
        <w:ind w:left="709"/>
        <w:jc w:val="both"/>
        <w:rPr>
          <w:rFonts w:asciiTheme="minorHAnsi" w:hAnsiTheme="minorHAnsi" w:cstheme="minorHAnsi"/>
          <w:b/>
          <w:i/>
          <w:sz w:val="28"/>
          <w:szCs w:val="28"/>
          <w:lang w:val="fr-FR"/>
        </w:rPr>
      </w:pPr>
      <w:r>
        <w:rPr>
          <w:rFonts w:asciiTheme="minorHAnsi" w:hAnsiTheme="minorHAnsi" w:cstheme="minorHAnsi"/>
          <w:b/>
          <w:i/>
          <w:sz w:val="28"/>
          <w:szCs w:val="28"/>
          <w:lang w:val="fr-FR"/>
        </w:rPr>
        <w:t>Introduction des demandes</w:t>
      </w:r>
    </w:p>
    <w:p>
      <w:pPr>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 xml:space="preserve">Les demandes remboursement sont </w:t>
      </w:r>
      <w:r>
        <w:rPr>
          <w:rFonts w:asciiTheme="minorHAnsi" w:hAnsiTheme="minorHAnsi" w:cstheme="minorHAnsi"/>
          <w:b/>
          <w:sz w:val="20"/>
          <w:szCs w:val="20"/>
          <w:u w:val="single"/>
          <w:lang w:val="fr-FR"/>
        </w:rPr>
        <w:t>introduites directement par l’établissement ou l’enseignant</w:t>
      </w:r>
      <w:r>
        <w:rPr>
          <w:rFonts w:asciiTheme="minorHAnsi" w:hAnsiTheme="minorHAnsi" w:cstheme="minorHAnsi"/>
          <w:sz w:val="20"/>
          <w:szCs w:val="20"/>
          <w:lang w:val="fr-FR"/>
        </w:rPr>
        <w:t>. Il leur appartient de bien veiller à remplir correctement le document et à le faire contresigner par le coordonnateur du CTA.</w:t>
      </w:r>
    </w:p>
    <w:p>
      <w:pPr>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 xml:space="preserve">Il convient d’introduire la demande de remboursement des frais auprès de l’administration </w:t>
      </w:r>
      <w:r>
        <w:rPr>
          <w:rFonts w:asciiTheme="minorHAnsi" w:hAnsiTheme="minorHAnsi" w:cstheme="minorHAnsi"/>
          <w:b/>
          <w:sz w:val="20"/>
          <w:szCs w:val="20"/>
          <w:u w:val="single"/>
          <w:lang w:val="fr-FR"/>
        </w:rPr>
        <w:t>dans le mois qui suit la fin de la formation et au plus tard pour le 15 janvier de l’année suivante</w:t>
      </w:r>
      <w:r>
        <w:rPr>
          <w:rFonts w:asciiTheme="minorHAnsi" w:hAnsiTheme="minorHAnsi" w:cstheme="minorHAnsi"/>
          <w:sz w:val="20"/>
          <w:szCs w:val="20"/>
          <w:lang w:val="fr-FR"/>
        </w:rPr>
        <w:t>, accompagnée des pièces justificatives. Cette demande doit obligatoirement être contresignée par le coordonnateur CTA.</w:t>
      </w:r>
    </w:p>
    <w:p>
      <w:pPr>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Si celle-ci est introduite hors délais, les frais ne seront pas remboursés et le déclarant en sera averti par courrier.</w:t>
      </w:r>
    </w:p>
    <w:p>
      <w:pPr>
        <w:spacing w:after="24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 xml:space="preserve">Les dossiers COMPLETS doivent être </w:t>
      </w:r>
      <w:r>
        <w:rPr>
          <w:rFonts w:asciiTheme="minorHAnsi" w:hAnsiTheme="minorHAnsi" w:cstheme="minorHAnsi"/>
          <w:b/>
          <w:sz w:val="20"/>
          <w:szCs w:val="20"/>
          <w:u w:val="single"/>
          <w:lang w:val="fr-FR"/>
        </w:rPr>
        <w:t>envoyés à l’adresse suivante</w:t>
      </w:r>
      <w:r>
        <w:rPr>
          <w:rFonts w:asciiTheme="minorHAnsi" w:hAnsiTheme="minorHAnsi" w:cstheme="minorHAnsi"/>
          <w:sz w:val="20"/>
          <w:szCs w:val="20"/>
          <w:lang w:val="fr-FR"/>
        </w:rPr>
        <w:t> :</w:t>
      </w:r>
    </w:p>
    <w:p>
      <w:pPr>
        <w:spacing w:line="276" w:lineRule="auto"/>
        <w:jc w:val="center"/>
        <w:rPr>
          <w:rFonts w:asciiTheme="minorHAnsi" w:hAnsiTheme="minorHAnsi" w:cstheme="minorHAnsi"/>
          <w:sz w:val="20"/>
          <w:szCs w:val="20"/>
          <w:lang w:val="fr-FR"/>
        </w:rPr>
      </w:pPr>
      <w:r>
        <w:rPr>
          <w:rFonts w:asciiTheme="minorHAnsi" w:hAnsiTheme="minorHAnsi" w:cstheme="minorHAnsi"/>
          <w:sz w:val="20"/>
          <w:szCs w:val="20"/>
          <w:lang w:val="fr-FR"/>
        </w:rPr>
        <w:t>Fédération Wallonie-Bruxelles</w:t>
      </w:r>
    </w:p>
    <w:p>
      <w:pPr>
        <w:spacing w:line="276" w:lineRule="auto"/>
        <w:jc w:val="center"/>
        <w:rPr>
          <w:rFonts w:asciiTheme="minorHAnsi" w:hAnsiTheme="minorHAnsi" w:cstheme="minorHAnsi"/>
          <w:sz w:val="20"/>
          <w:szCs w:val="20"/>
          <w:lang w:val="fr-FR"/>
        </w:rPr>
      </w:pPr>
      <w:r>
        <w:rPr>
          <w:rFonts w:asciiTheme="minorHAnsi" w:hAnsiTheme="minorHAnsi" w:cstheme="minorHAnsi"/>
          <w:sz w:val="20"/>
          <w:szCs w:val="20"/>
          <w:lang w:val="fr-FR"/>
        </w:rPr>
        <w:t>Direction générale de l’Enseignement obligatoire</w:t>
      </w:r>
    </w:p>
    <w:p>
      <w:pPr>
        <w:spacing w:line="276" w:lineRule="auto"/>
        <w:jc w:val="center"/>
        <w:rPr>
          <w:rFonts w:asciiTheme="minorHAnsi" w:hAnsiTheme="minorHAnsi" w:cstheme="minorHAnsi"/>
          <w:sz w:val="20"/>
          <w:szCs w:val="20"/>
          <w:lang w:val="fr-FR"/>
        </w:rPr>
      </w:pPr>
      <w:r>
        <w:rPr>
          <w:rFonts w:asciiTheme="minorHAnsi" w:hAnsiTheme="minorHAnsi" w:cstheme="minorHAnsi"/>
          <w:sz w:val="20"/>
          <w:szCs w:val="20"/>
          <w:lang w:val="fr-FR"/>
        </w:rPr>
        <w:t>Direction « Relations Ecoles-Monde du Travail »</w:t>
      </w:r>
    </w:p>
    <w:p>
      <w:pPr>
        <w:spacing w:line="276" w:lineRule="auto"/>
        <w:jc w:val="center"/>
        <w:rPr>
          <w:rFonts w:asciiTheme="minorHAnsi" w:hAnsiTheme="minorHAnsi" w:cstheme="minorHAnsi"/>
          <w:sz w:val="20"/>
          <w:szCs w:val="20"/>
          <w:lang w:val="fr-FR"/>
        </w:rPr>
      </w:pPr>
      <w:r>
        <w:rPr>
          <w:rFonts w:asciiTheme="minorHAnsi" w:hAnsiTheme="minorHAnsi" w:cstheme="minorHAnsi"/>
          <w:sz w:val="20"/>
          <w:szCs w:val="20"/>
          <w:lang w:val="fr-FR"/>
        </w:rPr>
        <w:t xml:space="preserve">A l’attention de Madame Mélanie </w:t>
      </w:r>
      <w:r>
        <w:rPr>
          <w:rFonts w:asciiTheme="minorHAnsi" w:hAnsiTheme="minorHAnsi" w:cstheme="minorHAnsi"/>
          <w:caps/>
          <w:sz w:val="20"/>
          <w:szCs w:val="20"/>
          <w:lang w:val="fr-FR"/>
        </w:rPr>
        <w:t>De Clerfayt</w:t>
      </w:r>
    </w:p>
    <w:p>
      <w:pPr>
        <w:spacing w:line="276" w:lineRule="auto"/>
        <w:jc w:val="center"/>
        <w:rPr>
          <w:rFonts w:asciiTheme="minorHAnsi" w:hAnsiTheme="minorHAnsi" w:cstheme="minorHAnsi"/>
          <w:sz w:val="20"/>
          <w:szCs w:val="20"/>
          <w:lang w:val="fr-FR"/>
        </w:rPr>
      </w:pPr>
      <w:r>
        <w:rPr>
          <w:rFonts w:asciiTheme="minorHAnsi" w:hAnsiTheme="minorHAnsi" w:cstheme="minorHAnsi"/>
          <w:sz w:val="20"/>
          <w:szCs w:val="20"/>
          <w:lang w:val="fr-FR"/>
        </w:rPr>
        <w:t>Bureau 1F130</w:t>
      </w:r>
    </w:p>
    <w:p>
      <w:pPr>
        <w:spacing w:after="240" w:line="276" w:lineRule="auto"/>
        <w:jc w:val="center"/>
        <w:rPr>
          <w:rFonts w:asciiTheme="minorHAnsi" w:hAnsiTheme="minorHAnsi" w:cstheme="minorHAnsi"/>
          <w:sz w:val="20"/>
          <w:szCs w:val="20"/>
          <w:lang w:val="fr-FR"/>
        </w:rPr>
      </w:pPr>
      <w:r>
        <w:rPr>
          <w:rFonts w:asciiTheme="minorHAnsi" w:hAnsiTheme="minorHAnsi" w:cstheme="minorHAnsi"/>
          <w:sz w:val="20"/>
          <w:szCs w:val="20"/>
          <w:lang w:val="fr-FR"/>
        </w:rPr>
        <w:t>Rue Adolphe Lavallée, 1 – 1080 Bruxelles</w:t>
      </w:r>
    </w:p>
    <w:p>
      <w:pPr>
        <w:rPr>
          <w:rFonts w:asciiTheme="minorHAnsi" w:hAnsiTheme="minorHAnsi" w:cstheme="minorHAnsi"/>
          <w:b/>
          <w:sz w:val="32"/>
          <w:szCs w:val="32"/>
          <w:u w:val="single"/>
        </w:rPr>
      </w:pPr>
      <w:r>
        <w:rPr>
          <w:rFonts w:asciiTheme="minorHAnsi" w:hAnsiTheme="minorHAnsi" w:cstheme="minorHAnsi"/>
          <w:b/>
          <w:sz w:val="32"/>
          <w:szCs w:val="32"/>
          <w:u w:val="single"/>
        </w:rPr>
        <w:br w:type="page"/>
      </w:r>
    </w:p>
    <w:p>
      <w:pPr>
        <w:numPr>
          <w:ilvl w:val="0"/>
          <w:numId w:val="126"/>
        </w:numPr>
        <w:spacing w:before="240" w:after="240" w:line="276" w:lineRule="auto"/>
        <w:ind w:left="425" w:hanging="425"/>
        <w:jc w:val="both"/>
        <w:rPr>
          <w:rFonts w:asciiTheme="minorHAnsi" w:hAnsiTheme="minorHAnsi" w:cstheme="minorHAnsi"/>
          <w:b/>
          <w:sz w:val="32"/>
          <w:szCs w:val="32"/>
          <w:u w:val="single"/>
        </w:rPr>
      </w:pPr>
      <w:r>
        <w:rPr>
          <w:rFonts w:asciiTheme="minorHAnsi" w:hAnsiTheme="minorHAnsi" w:cstheme="minorHAnsi"/>
          <w:b/>
          <w:sz w:val="32"/>
          <w:szCs w:val="32"/>
          <w:u w:val="single"/>
        </w:rPr>
        <w:lastRenderedPageBreak/>
        <w:t>Conservation des pièces justificatives</w:t>
      </w:r>
    </w:p>
    <w:p>
      <w:pPr>
        <w:spacing w:after="120" w:line="276" w:lineRule="auto"/>
        <w:jc w:val="both"/>
        <w:rPr>
          <w:rFonts w:asciiTheme="minorHAnsi" w:hAnsiTheme="minorHAnsi" w:cstheme="minorHAnsi"/>
          <w:sz w:val="20"/>
          <w:szCs w:val="20"/>
          <w:lang w:val="fr-FR"/>
        </w:rPr>
      </w:pPr>
      <w:r>
        <w:rPr>
          <w:rFonts w:asciiTheme="minorHAnsi" w:hAnsiTheme="minorHAnsi" w:cstheme="minorHAnsi"/>
          <w:sz w:val="20"/>
          <w:szCs w:val="20"/>
          <w:lang w:val="fr-FR"/>
        </w:rPr>
        <w:t xml:space="preserve">Il est à noter que les demandes de remboursement de frais de déplacement et d’hébergement sont conservées au sein de l’administration pour une durée de 10 ans. Les informations fournies par les demandeurs sont utilisées uniquement à des fins de remboursement et ne sont nullement utilisées à des fins commerciales. </w:t>
      </w:r>
    </w:p>
    <w:p>
      <w:pPr>
        <w:spacing w:after="120" w:line="360" w:lineRule="auto"/>
        <w:jc w:val="both"/>
        <w:rPr>
          <w:rFonts w:asciiTheme="minorHAnsi" w:hAnsiTheme="minorHAnsi" w:cstheme="minorHAnsi"/>
          <w:sz w:val="20"/>
          <w:szCs w:val="20"/>
          <w:lang w:val="fr-FR"/>
        </w:rPr>
      </w:pPr>
    </w:p>
    <w:p>
      <w:pPr>
        <w:rPr>
          <w:rFonts w:ascii="Calibri" w:hAnsi="Calibri" w:cs="Calibri"/>
          <w:sz w:val="22"/>
          <w:szCs w:val="22"/>
        </w:rPr>
      </w:pPr>
      <w:r>
        <w:rPr>
          <w:rFonts w:ascii="Calibri" w:hAnsi="Calibri" w:cs="Calibri"/>
          <w:sz w:val="22"/>
          <w:szCs w:val="22"/>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14</w:t>
      </w:r>
    </w:p>
    <w:p>
      <w:pPr>
        <w:spacing w:before="240" w:after="240"/>
        <w:jc w:val="center"/>
        <w:rPr>
          <w:rFonts w:ascii="Calibri" w:hAnsi="Calibri" w:cs="Calibri"/>
          <w:b/>
          <w:sz w:val="36"/>
          <w:szCs w:val="36"/>
        </w:rPr>
      </w:pPr>
      <w:r>
        <w:rPr>
          <w:rFonts w:ascii="Calibri" w:hAnsi="Calibri" w:cs="Calibri"/>
          <w:b/>
          <w:sz w:val="36"/>
          <w:szCs w:val="36"/>
        </w:rPr>
        <w:t>Catégories de frais</w:t>
      </w:r>
    </w:p>
    <w:p>
      <w:pPr>
        <w:spacing w:after="360"/>
        <w:jc w:val="both"/>
        <w:rPr>
          <w:rFonts w:ascii="Calibri" w:hAnsi="Calibri" w:cs="Calibri"/>
          <w:b/>
          <w:i/>
        </w:rPr>
      </w:pPr>
      <w:r>
        <w:rPr>
          <w:rFonts w:ascii="Calibri" w:hAnsi="Calibri" w:cs="Calibri"/>
          <w:b/>
          <w:sz w:val="28"/>
          <w:szCs w:val="28"/>
          <w:u w:val="single"/>
        </w:rPr>
        <w:br w:type="page"/>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536"/>
        <w:gridCol w:w="2835"/>
      </w:tblGrid>
      <w:tr>
        <w:tc>
          <w:tcPr>
            <w:tcW w:w="1526" w:type="dxa"/>
            <w:vAlign w:val="center"/>
          </w:tcPr>
          <w:p>
            <w:pPr>
              <w:jc w:val="center"/>
              <w:rPr>
                <w:rFonts w:ascii="Calibri" w:eastAsia="Calibri" w:hAnsi="Calibri" w:cs="Calibri"/>
                <w:b/>
                <w:sz w:val="22"/>
                <w:szCs w:val="22"/>
              </w:rPr>
            </w:pPr>
            <w:r>
              <w:rPr>
                <w:rFonts w:ascii="Calibri" w:eastAsia="Calibri" w:hAnsi="Calibri" w:cs="Calibri"/>
                <w:b/>
                <w:sz w:val="22"/>
                <w:szCs w:val="22"/>
              </w:rPr>
              <w:lastRenderedPageBreak/>
              <w:t>N° FASE</w:t>
            </w:r>
          </w:p>
        </w:tc>
        <w:tc>
          <w:tcPr>
            <w:tcW w:w="4536" w:type="dxa"/>
            <w:vAlign w:val="center"/>
          </w:tcPr>
          <w:p>
            <w:pPr>
              <w:jc w:val="center"/>
              <w:rPr>
                <w:rFonts w:ascii="Calibri" w:eastAsia="Calibri" w:hAnsi="Calibri" w:cs="Calibri"/>
                <w:b/>
                <w:sz w:val="22"/>
                <w:szCs w:val="22"/>
              </w:rPr>
            </w:pPr>
            <w:r>
              <w:rPr>
                <w:rFonts w:ascii="Calibri" w:eastAsia="Calibri" w:hAnsi="Calibri" w:cs="Calibri"/>
                <w:b/>
                <w:sz w:val="22"/>
                <w:szCs w:val="22"/>
              </w:rPr>
              <w:t>Nom du CTA</w:t>
            </w:r>
          </w:p>
        </w:tc>
        <w:tc>
          <w:tcPr>
            <w:tcW w:w="2835" w:type="dxa"/>
            <w:vAlign w:val="center"/>
          </w:tcPr>
          <w:p>
            <w:pPr>
              <w:jc w:val="center"/>
              <w:rPr>
                <w:rFonts w:ascii="Calibri" w:eastAsia="Calibri" w:hAnsi="Calibri" w:cs="Calibri"/>
                <w:b/>
                <w:sz w:val="22"/>
                <w:szCs w:val="22"/>
              </w:rPr>
            </w:pPr>
            <w:r>
              <w:rPr>
                <w:rFonts w:ascii="Calibri" w:eastAsia="Calibri" w:hAnsi="Calibri" w:cs="Calibri"/>
                <w:b/>
                <w:sz w:val="22"/>
                <w:szCs w:val="22"/>
              </w:rPr>
              <w:t>Localité</w:t>
            </w:r>
          </w:p>
        </w:tc>
      </w:tr>
      <w:tr>
        <w:tc>
          <w:tcPr>
            <w:tcW w:w="8897" w:type="dxa"/>
            <w:gridSpan w:val="3"/>
            <w:vAlign w:val="center"/>
          </w:tcPr>
          <w:p>
            <w:pPr>
              <w:spacing w:before="120" w:after="120"/>
              <w:jc w:val="center"/>
              <w:rPr>
                <w:rFonts w:ascii="Calibri" w:eastAsia="Calibri" w:hAnsi="Calibri" w:cs="Calibri"/>
                <w:b/>
                <w:i/>
                <w:sz w:val="22"/>
                <w:szCs w:val="22"/>
              </w:rPr>
            </w:pPr>
            <w:r>
              <w:rPr>
                <w:rFonts w:ascii="Calibri" w:eastAsia="Calibri" w:hAnsi="Calibri" w:cs="Calibri"/>
                <w:b/>
                <w:i/>
                <w:sz w:val="22"/>
                <w:szCs w:val="22"/>
              </w:rPr>
              <w:t>Catégorie 1 – 10 € par jour et par apprenant</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95212</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Automation</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4000 Liège</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95215</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Equipements techniques du bâtiment</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5590 Ciney</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95219</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Maintenance de systèmes automatisés industriels</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6760 Virton</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95220</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Serge Journé - Maintenance des équipements énergétiques</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7800 Ath</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95223</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Domotique – immotique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6000 Charleroi</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95229</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Robotique, pneumatique, automate programmable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1080 Molenbeek</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95236</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Electricité domestique et industrielle, domotique, technique du froid, hydraulique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1000 Bruxelles</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95242</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Gestion hôtelière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5000 Namur</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95244</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Mécanique appliquée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6000 Charleroi</w:t>
            </w:r>
          </w:p>
        </w:tc>
      </w:tr>
      <w:tr>
        <w:tc>
          <w:tcPr>
            <w:tcW w:w="8897" w:type="dxa"/>
            <w:gridSpan w:val="3"/>
            <w:vAlign w:val="center"/>
          </w:tcPr>
          <w:p>
            <w:pPr>
              <w:spacing w:before="120" w:after="120"/>
              <w:jc w:val="center"/>
              <w:rPr>
                <w:rFonts w:ascii="Calibri" w:eastAsia="Calibri" w:hAnsi="Calibri" w:cs="Calibri"/>
                <w:b/>
                <w:i/>
                <w:sz w:val="22"/>
                <w:szCs w:val="22"/>
              </w:rPr>
            </w:pPr>
            <w:r>
              <w:rPr>
                <w:rFonts w:ascii="Calibri" w:eastAsia="Calibri" w:hAnsi="Calibri" w:cs="Calibri"/>
                <w:b/>
                <w:i/>
                <w:sz w:val="22"/>
                <w:szCs w:val="22"/>
              </w:rPr>
              <w:t>Catégorie 2 – 15 € par jour et par apprenant</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95214</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Conception – création 2D-3D</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4000 Liège</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95222</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Véhicules écologiques</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7000 Mons</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95230</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Mécanique – carrosserie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5000 Namur</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95235</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Formations dans le domaine de l’agro-alimentaire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7500 Tournai</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95241</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Mécanique des moteurs</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7900 Leuze-en-Hainaut</w:t>
            </w:r>
          </w:p>
        </w:tc>
      </w:tr>
      <w:tr>
        <w:tc>
          <w:tcPr>
            <w:tcW w:w="8897" w:type="dxa"/>
            <w:gridSpan w:val="3"/>
            <w:vAlign w:val="center"/>
          </w:tcPr>
          <w:p>
            <w:pPr>
              <w:spacing w:before="120" w:after="120"/>
              <w:jc w:val="center"/>
              <w:rPr>
                <w:rFonts w:ascii="Calibri" w:eastAsia="Calibri" w:hAnsi="Calibri" w:cs="Calibri"/>
                <w:b/>
                <w:i/>
                <w:sz w:val="22"/>
                <w:szCs w:val="22"/>
              </w:rPr>
            </w:pPr>
            <w:r>
              <w:rPr>
                <w:rFonts w:ascii="Calibri" w:eastAsia="Calibri" w:hAnsi="Calibri" w:cs="Calibri"/>
                <w:b/>
                <w:i/>
                <w:sz w:val="22"/>
                <w:szCs w:val="22"/>
              </w:rPr>
              <w:t>Catégorie 3 – 20 € par jour et par apprenant</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95211</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Environnement</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4300 Waremme</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95218</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Travail de la tôle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6900 Marche-en-Famenne</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95227</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Energies vertes et renouvelables</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1070 Anderlecht</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95228</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Mini hôpital – Puériculture – Service aux personnes</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1000 Bruxelles</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95232</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Expertise scientifique au service des métiers de l'alimentation</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6800 Libramont</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95234</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CNC – usinage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4620 Soumagne</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95238</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Boulangerie – Chocolaterie – Pâtisserie – Glacerie – Hôtellerie – Restauration de salle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1070 Anderlecht</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95240</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Hôtellerie : bases du futur des métiers de bouche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4000 Liège</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95243</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Chimie</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1030 Schaerbeek</w:t>
            </w:r>
          </w:p>
        </w:tc>
      </w:tr>
      <w:tr>
        <w:tc>
          <w:tcPr>
            <w:tcW w:w="8897" w:type="dxa"/>
            <w:gridSpan w:val="3"/>
            <w:vAlign w:val="center"/>
          </w:tcPr>
          <w:p>
            <w:pPr>
              <w:spacing w:before="120" w:after="120"/>
              <w:jc w:val="center"/>
              <w:rPr>
                <w:rFonts w:ascii="Calibri" w:eastAsia="Calibri" w:hAnsi="Calibri" w:cs="Calibri"/>
                <w:b/>
                <w:i/>
                <w:sz w:val="22"/>
                <w:szCs w:val="22"/>
              </w:rPr>
            </w:pPr>
            <w:r>
              <w:rPr>
                <w:rFonts w:ascii="Calibri" w:eastAsia="Calibri" w:hAnsi="Calibri" w:cs="Calibri"/>
                <w:b/>
                <w:i/>
                <w:sz w:val="22"/>
                <w:szCs w:val="22"/>
              </w:rPr>
              <w:t>Catégorie 4 – 25 € par jour et par apprenant</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95213</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Bois-PVC-Alu</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4000 Liège</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95216</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Sciences appliquées</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5000 Namur</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95221</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Bois – Eco-construction</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7780 Comines</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95231</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Formations agronomiques des secteurs verts</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5030 Gembloux</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95233</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Charpente et ossature bois</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7140 Morlanwelz</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95237</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Infographie et industries graphiques</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1000 Bruxelles</w:t>
            </w:r>
          </w:p>
        </w:tc>
      </w:tr>
      <w:tr>
        <w:tc>
          <w:tcPr>
            <w:tcW w:w="1526" w:type="dxa"/>
            <w:vAlign w:val="center"/>
          </w:tcPr>
          <w:p>
            <w:pPr>
              <w:jc w:val="center"/>
              <w:rPr>
                <w:rFonts w:ascii="Calibri" w:eastAsia="Calibri" w:hAnsi="Calibri" w:cs="Calibri"/>
                <w:sz w:val="20"/>
                <w:szCs w:val="20"/>
              </w:rPr>
            </w:pPr>
            <w:r>
              <w:rPr>
                <w:rFonts w:ascii="Calibri" w:eastAsia="Calibri" w:hAnsi="Calibri" w:cs="Calibri"/>
                <w:sz w:val="20"/>
                <w:szCs w:val="20"/>
              </w:rPr>
              <w:t>95239</w:t>
            </w:r>
          </w:p>
        </w:tc>
        <w:tc>
          <w:tcPr>
            <w:tcW w:w="4536" w:type="dxa"/>
            <w:vAlign w:val="center"/>
          </w:tcPr>
          <w:p>
            <w:pPr>
              <w:jc w:val="center"/>
              <w:rPr>
                <w:rFonts w:ascii="Calibri" w:eastAsia="Calibri" w:hAnsi="Calibri" w:cs="Calibri"/>
                <w:sz w:val="20"/>
                <w:szCs w:val="20"/>
              </w:rPr>
            </w:pPr>
            <w:r>
              <w:rPr>
                <w:rFonts w:ascii="Calibri" w:eastAsia="Calibri" w:hAnsi="Calibri" w:cs="Calibri"/>
                <w:sz w:val="20"/>
                <w:szCs w:val="20"/>
              </w:rPr>
              <w:t>CTA Industries graphiques</w:t>
            </w:r>
          </w:p>
        </w:tc>
        <w:tc>
          <w:tcPr>
            <w:tcW w:w="2835" w:type="dxa"/>
            <w:vAlign w:val="center"/>
          </w:tcPr>
          <w:p>
            <w:pPr>
              <w:jc w:val="center"/>
              <w:rPr>
                <w:rFonts w:ascii="Calibri" w:eastAsia="Calibri" w:hAnsi="Calibri" w:cs="Calibri"/>
                <w:sz w:val="20"/>
                <w:szCs w:val="20"/>
              </w:rPr>
            </w:pPr>
            <w:r>
              <w:rPr>
                <w:rFonts w:ascii="Calibri" w:eastAsia="Calibri" w:hAnsi="Calibri" w:cs="Calibri"/>
                <w:sz w:val="20"/>
                <w:szCs w:val="20"/>
              </w:rPr>
              <w:t>4400 Flémalle</w:t>
            </w:r>
          </w:p>
        </w:tc>
      </w:tr>
    </w:tbl>
    <w:p>
      <w:pPr>
        <w:spacing w:after="120"/>
        <w:jc w:val="both"/>
        <w:rPr>
          <w:rFonts w:ascii="Calibri" w:hAnsi="Calibri" w:cs="Calibri"/>
          <w:sz w:val="22"/>
          <w:szCs w:val="22"/>
        </w:rPr>
      </w:pPr>
    </w:p>
    <w:p>
      <w:pPr>
        <w:spacing w:before="240" w:after="240"/>
        <w:jc w:val="both"/>
        <w:rPr>
          <w:rFonts w:ascii="Calibri" w:hAnsi="Calibri" w:cs="Calibri"/>
          <w:sz w:val="22"/>
          <w:szCs w:val="22"/>
        </w:rPr>
      </w:pPr>
      <w:r>
        <w:rPr>
          <w:rFonts w:ascii="Calibri" w:hAnsi="Calibri" w:cs="Calibri"/>
          <w:sz w:val="22"/>
          <w:szCs w:val="22"/>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15</w:t>
      </w:r>
    </w:p>
    <w:p>
      <w:pPr>
        <w:spacing w:before="240" w:after="240"/>
        <w:jc w:val="center"/>
        <w:rPr>
          <w:rFonts w:ascii="Calibri" w:hAnsi="Calibri" w:cs="Calibri"/>
          <w:b/>
          <w:sz w:val="36"/>
          <w:szCs w:val="36"/>
        </w:rPr>
      </w:pPr>
      <w:r>
        <w:rPr>
          <w:rFonts w:ascii="Calibri" w:hAnsi="Calibri" w:cs="Calibri"/>
          <w:b/>
          <w:sz w:val="36"/>
          <w:szCs w:val="36"/>
        </w:rPr>
        <w:t>Rapport d’activités</w:t>
      </w:r>
    </w:p>
    <w:p>
      <w:pPr>
        <w:spacing w:after="120"/>
        <w:rPr>
          <w:rFonts w:ascii="Calibri" w:hAnsi="Calibri" w:cs="Calibri"/>
          <w:b/>
          <w:sz w:val="22"/>
          <w:szCs w:val="22"/>
        </w:rPr>
      </w:pPr>
      <w:r>
        <w:rPr>
          <w:rFonts w:ascii="Calibri" w:hAnsi="Calibri" w:cs="Calibri"/>
          <w:b/>
          <w:sz w:val="28"/>
          <w:szCs w:val="28"/>
          <w:u w:val="single"/>
        </w:rPr>
        <w:br w:type="page"/>
      </w:r>
    </w:p>
    <w:p>
      <w:pPr>
        <w:spacing w:after="360"/>
        <w:jc w:val="both"/>
        <w:rPr>
          <w:rFonts w:ascii="Calibri" w:hAnsi="Calibri" w:cs="Calibri"/>
          <w:b/>
          <w:caps/>
          <w:sz w:val="22"/>
          <w:szCs w:val="22"/>
        </w:rPr>
      </w:pPr>
      <w:r>
        <w:rPr>
          <w:rFonts w:ascii="Calibri" w:hAnsi="Calibri" w:cs="Calibri"/>
          <w:b/>
          <w:caps/>
          <w:sz w:val="22"/>
          <w:szCs w:val="22"/>
        </w:rPr>
        <w:lastRenderedPageBreak/>
        <w:t>Rapport d’activités CTA – année civile …………</w:t>
      </w:r>
    </w:p>
    <w:p>
      <w:pPr>
        <w:spacing w:after="120"/>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5"/>
        <w:gridCol w:w="6007"/>
      </w:tblGrid>
      <w:tr>
        <w:tc>
          <w:tcPr>
            <w:tcW w:w="3085" w:type="dxa"/>
          </w:tcPr>
          <w:p>
            <w:pPr>
              <w:spacing w:after="120"/>
              <w:rPr>
                <w:rFonts w:ascii="Calibri" w:hAnsi="Calibri" w:cs="Calibri"/>
                <w:sz w:val="22"/>
                <w:szCs w:val="22"/>
                <w:lang w:eastAsia="fr-BE"/>
              </w:rPr>
            </w:pPr>
            <w:r>
              <w:rPr>
                <w:rFonts w:ascii="Calibri" w:hAnsi="Calibri" w:cs="Calibri"/>
                <w:sz w:val="22"/>
                <w:szCs w:val="22"/>
                <w:lang w:eastAsia="fr-BE"/>
              </w:rPr>
              <w:t>Nom de l’établissement accueillant</w:t>
            </w:r>
          </w:p>
        </w:tc>
        <w:tc>
          <w:tcPr>
            <w:tcW w:w="6127" w:type="dxa"/>
          </w:tcPr>
          <w:p>
            <w:pPr>
              <w:spacing w:after="120"/>
              <w:rPr>
                <w:rFonts w:ascii="Calibri" w:hAnsi="Calibri" w:cs="Calibri"/>
                <w:sz w:val="22"/>
                <w:szCs w:val="22"/>
                <w:lang w:eastAsia="fr-BE"/>
              </w:rPr>
            </w:pPr>
          </w:p>
        </w:tc>
      </w:tr>
      <w:tr>
        <w:tc>
          <w:tcPr>
            <w:tcW w:w="3085" w:type="dxa"/>
          </w:tcPr>
          <w:p>
            <w:pPr>
              <w:spacing w:after="120"/>
              <w:rPr>
                <w:rFonts w:ascii="Calibri" w:hAnsi="Calibri" w:cs="Calibri"/>
                <w:sz w:val="22"/>
                <w:szCs w:val="22"/>
                <w:lang w:eastAsia="fr-BE"/>
              </w:rPr>
            </w:pPr>
            <w:r>
              <w:rPr>
                <w:rFonts w:ascii="Calibri" w:hAnsi="Calibri" w:cs="Calibri"/>
                <w:sz w:val="22"/>
                <w:szCs w:val="22"/>
                <w:lang w:eastAsia="fr-BE"/>
              </w:rPr>
              <w:t>N° FASE du CTA</w:t>
            </w:r>
          </w:p>
        </w:tc>
        <w:tc>
          <w:tcPr>
            <w:tcW w:w="6127" w:type="dxa"/>
          </w:tcPr>
          <w:p>
            <w:pPr>
              <w:spacing w:after="120"/>
              <w:rPr>
                <w:rFonts w:ascii="Calibri" w:hAnsi="Calibri" w:cs="Calibri"/>
                <w:sz w:val="22"/>
                <w:szCs w:val="22"/>
                <w:lang w:eastAsia="fr-BE"/>
              </w:rPr>
            </w:pPr>
          </w:p>
        </w:tc>
      </w:tr>
      <w:tr>
        <w:tc>
          <w:tcPr>
            <w:tcW w:w="3085" w:type="dxa"/>
          </w:tcPr>
          <w:p>
            <w:pPr>
              <w:spacing w:after="120"/>
              <w:rPr>
                <w:rFonts w:ascii="Calibri" w:hAnsi="Calibri" w:cs="Calibri"/>
                <w:sz w:val="22"/>
                <w:szCs w:val="22"/>
                <w:lang w:eastAsia="fr-BE"/>
              </w:rPr>
            </w:pPr>
            <w:r>
              <w:rPr>
                <w:rFonts w:ascii="Calibri" w:hAnsi="Calibri" w:cs="Calibri"/>
                <w:sz w:val="22"/>
                <w:szCs w:val="22"/>
                <w:lang w:eastAsia="fr-BE"/>
              </w:rPr>
              <w:t>Nom et/ou objet du CTA</w:t>
            </w:r>
          </w:p>
        </w:tc>
        <w:tc>
          <w:tcPr>
            <w:tcW w:w="6127" w:type="dxa"/>
          </w:tcPr>
          <w:p>
            <w:pPr>
              <w:spacing w:after="120"/>
              <w:rPr>
                <w:rFonts w:ascii="Calibri" w:hAnsi="Calibri" w:cs="Calibri"/>
                <w:sz w:val="22"/>
                <w:szCs w:val="22"/>
                <w:lang w:eastAsia="fr-BE"/>
              </w:rPr>
            </w:pPr>
          </w:p>
          <w:p>
            <w:pPr>
              <w:spacing w:after="120"/>
              <w:rPr>
                <w:rFonts w:ascii="Calibri" w:hAnsi="Calibri" w:cs="Calibri"/>
                <w:sz w:val="22"/>
                <w:szCs w:val="22"/>
                <w:lang w:eastAsia="fr-BE"/>
              </w:rPr>
            </w:pPr>
          </w:p>
        </w:tc>
      </w:tr>
      <w:tr>
        <w:tc>
          <w:tcPr>
            <w:tcW w:w="3085" w:type="dxa"/>
          </w:tcPr>
          <w:p>
            <w:pPr>
              <w:spacing w:after="120"/>
              <w:rPr>
                <w:rFonts w:ascii="Calibri" w:hAnsi="Calibri" w:cs="Calibri"/>
                <w:sz w:val="22"/>
                <w:szCs w:val="22"/>
                <w:lang w:eastAsia="fr-BE"/>
              </w:rPr>
            </w:pPr>
            <w:r>
              <w:rPr>
                <w:rFonts w:ascii="Calibri" w:hAnsi="Calibri" w:cs="Calibri"/>
                <w:sz w:val="22"/>
                <w:szCs w:val="22"/>
                <w:lang w:eastAsia="fr-BE"/>
              </w:rPr>
              <w:t>Adresse complète du centre</w:t>
            </w:r>
          </w:p>
          <w:p>
            <w:pPr>
              <w:spacing w:after="120"/>
              <w:rPr>
                <w:rFonts w:ascii="Calibri" w:hAnsi="Calibri" w:cs="Calibri"/>
                <w:sz w:val="22"/>
                <w:szCs w:val="22"/>
                <w:lang w:eastAsia="fr-BE"/>
              </w:rPr>
            </w:pPr>
          </w:p>
        </w:tc>
        <w:tc>
          <w:tcPr>
            <w:tcW w:w="6127" w:type="dxa"/>
          </w:tcPr>
          <w:p>
            <w:pPr>
              <w:spacing w:after="120"/>
              <w:rPr>
                <w:rFonts w:ascii="Calibri" w:hAnsi="Calibri" w:cs="Calibri"/>
                <w:sz w:val="22"/>
                <w:szCs w:val="22"/>
                <w:lang w:eastAsia="fr-BE"/>
              </w:rPr>
            </w:pPr>
          </w:p>
        </w:tc>
      </w:tr>
      <w:tr>
        <w:tc>
          <w:tcPr>
            <w:tcW w:w="3085" w:type="dxa"/>
          </w:tcPr>
          <w:p>
            <w:pPr>
              <w:spacing w:after="120"/>
              <w:rPr>
                <w:rFonts w:ascii="Calibri" w:hAnsi="Calibri" w:cs="Calibri"/>
                <w:sz w:val="22"/>
                <w:szCs w:val="22"/>
                <w:lang w:eastAsia="fr-BE"/>
              </w:rPr>
            </w:pPr>
            <w:r>
              <w:rPr>
                <w:rFonts w:ascii="Calibri" w:hAnsi="Calibri" w:cs="Calibri"/>
                <w:sz w:val="22"/>
                <w:szCs w:val="22"/>
                <w:lang w:eastAsia="fr-BE"/>
              </w:rPr>
              <w:t>Réservé à l’administration</w:t>
            </w:r>
          </w:p>
        </w:tc>
        <w:tc>
          <w:tcPr>
            <w:tcW w:w="6127" w:type="dxa"/>
          </w:tcPr>
          <w:p>
            <w:pPr>
              <w:spacing w:after="120"/>
              <w:rPr>
                <w:rFonts w:ascii="Calibri" w:hAnsi="Calibri" w:cs="Calibri"/>
                <w:sz w:val="22"/>
                <w:szCs w:val="22"/>
                <w:lang w:eastAsia="fr-BE"/>
              </w:rPr>
            </w:pPr>
          </w:p>
        </w:tc>
      </w:tr>
    </w:tbl>
    <w:p>
      <w:pPr>
        <w:spacing w:after="120"/>
        <w:rPr>
          <w:rFonts w:ascii="Calibri" w:hAnsi="Calibri" w:cs="Calibri"/>
          <w:sz w:val="22"/>
          <w:szCs w:val="22"/>
        </w:rPr>
      </w:pPr>
    </w:p>
    <w:p>
      <w:pPr>
        <w:numPr>
          <w:ilvl w:val="0"/>
          <w:numId w:val="13"/>
        </w:numPr>
        <w:spacing w:after="120"/>
        <w:rPr>
          <w:rFonts w:ascii="Calibri" w:hAnsi="Calibri" w:cs="Calibri"/>
          <w:b/>
          <w:sz w:val="22"/>
          <w:szCs w:val="22"/>
        </w:rPr>
      </w:pPr>
      <w:r>
        <w:rPr>
          <w:rFonts w:ascii="Calibri" w:hAnsi="Calibri" w:cs="Calibri"/>
          <w:b/>
          <w:sz w:val="22"/>
          <w:szCs w:val="22"/>
        </w:rPr>
        <w:t xml:space="preserve">PARTIE QUANTITATIVE </w:t>
      </w:r>
    </w:p>
    <w:p>
      <w:pPr>
        <w:spacing w:after="120"/>
        <w:rPr>
          <w:rFonts w:ascii="Calibri" w:hAnsi="Calibri" w:cs="Calibri"/>
          <w:sz w:val="22"/>
          <w:szCs w:val="22"/>
        </w:rPr>
      </w:pPr>
    </w:p>
    <w:p>
      <w:pPr>
        <w:spacing w:after="120"/>
        <w:rPr>
          <w:rFonts w:ascii="Calibri" w:hAnsi="Calibri" w:cs="Calibri"/>
          <w:sz w:val="22"/>
          <w:szCs w:val="22"/>
        </w:rPr>
      </w:pPr>
      <w:r>
        <w:rPr>
          <w:rFonts w:ascii="Calibri" w:hAnsi="Calibri" w:cs="Calibri"/>
          <w:sz w:val="22"/>
          <w:szCs w:val="22"/>
        </w:rPr>
        <w:t>Période concernée : 1</w:t>
      </w:r>
      <w:r>
        <w:rPr>
          <w:rFonts w:ascii="Calibri" w:hAnsi="Calibri" w:cs="Calibri"/>
          <w:sz w:val="22"/>
          <w:szCs w:val="22"/>
          <w:vertAlign w:val="superscript"/>
        </w:rPr>
        <w:t>er</w:t>
      </w:r>
      <w:r>
        <w:rPr>
          <w:rFonts w:ascii="Calibri" w:hAnsi="Calibri" w:cs="Calibri"/>
          <w:sz w:val="22"/>
          <w:szCs w:val="22"/>
        </w:rPr>
        <w:t xml:space="preserve"> janvier – 31 décembre.</w:t>
      </w:r>
    </w:p>
    <w:p>
      <w:pPr>
        <w:spacing w:after="120"/>
        <w:rPr>
          <w:rFonts w:ascii="Calibri" w:hAnsi="Calibri" w:cs="Calibri"/>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2"/>
        <w:gridCol w:w="1372"/>
        <w:gridCol w:w="1794"/>
        <w:gridCol w:w="1544"/>
      </w:tblGrid>
      <w:tr>
        <w:tc>
          <w:tcPr>
            <w:tcW w:w="5000" w:type="pct"/>
            <w:gridSpan w:val="4"/>
            <w:vAlign w:val="center"/>
          </w:tcPr>
          <w:p>
            <w:pPr>
              <w:spacing w:before="120" w:after="120"/>
              <w:jc w:val="center"/>
              <w:rPr>
                <w:rFonts w:asciiTheme="minorHAnsi" w:hAnsiTheme="minorHAnsi" w:cstheme="minorHAnsi"/>
                <w:b/>
              </w:rPr>
            </w:pPr>
            <w:r>
              <w:rPr>
                <w:rFonts w:asciiTheme="minorHAnsi" w:hAnsiTheme="minorHAnsi" w:cstheme="minorHAnsi"/>
                <w:b/>
              </w:rPr>
              <w:t>COMITE D’ACCOMPAGNEMENT</w:t>
            </w:r>
          </w:p>
        </w:tc>
      </w:tr>
      <w:tr>
        <w:tc>
          <w:tcPr>
            <w:tcW w:w="4148" w:type="pct"/>
            <w:gridSpan w:val="3"/>
            <w:tcBorders>
              <w:bottom w:val="single" w:sz="4" w:space="0" w:color="auto"/>
            </w:tcBorders>
            <w:vAlign w:val="center"/>
          </w:tcPr>
          <w:p>
            <w:pPr>
              <w:rPr>
                <w:rFonts w:asciiTheme="minorHAnsi" w:hAnsiTheme="minorHAnsi" w:cstheme="minorHAnsi"/>
                <w:sz w:val="20"/>
                <w:szCs w:val="20"/>
              </w:rPr>
            </w:pPr>
            <w:r>
              <w:rPr>
                <w:rFonts w:asciiTheme="minorHAnsi" w:hAnsiTheme="minorHAnsi" w:cstheme="minorHAnsi"/>
                <w:sz w:val="20"/>
                <w:szCs w:val="20"/>
              </w:rPr>
              <w:t>Nombre total de réunions du Comité d’accompagnement</w:t>
            </w:r>
          </w:p>
        </w:tc>
        <w:tc>
          <w:tcPr>
            <w:tcW w:w="852" w:type="pct"/>
            <w:tcBorders>
              <w:bottom w:val="single" w:sz="4" w:space="0" w:color="auto"/>
            </w:tcBorders>
            <w:vAlign w:val="center"/>
          </w:tcPr>
          <w:p>
            <w:pPr>
              <w:rPr>
                <w:rFonts w:asciiTheme="minorHAnsi" w:hAnsiTheme="minorHAnsi" w:cstheme="minorHAnsi"/>
                <w:sz w:val="20"/>
                <w:szCs w:val="20"/>
              </w:rPr>
            </w:pPr>
          </w:p>
        </w:tc>
      </w:tr>
      <w:tr>
        <w:tc>
          <w:tcPr>
            <w:tcW w:w="2401" w:type="pct"/>
            <w:tcBorders>
              <w:left w:val="nil"/>
              <w:bottom w:val="nil"/>
              <w:right w:val="nil"/>
            </w:tcBorders>
            <w:vAlign w:val="center"/>
          </w:tcPr>
          <w:p>
            <w:pPr>
              <w:rPr>
                <w:rFonts w:asciiTheme="minorHAnsi" w:hAnsiTheme="minorHAnsi" w:cstheme="minorHAnsi"/>
                <w:sz w:val="20"/>
                <w:szCs w:val="20"/>
              </w:rPr>
            </w:pPr>
          </w:p>
        </w:tc>
        <w:tc>
          <w:tcPr>
            <w:tcW w:w="1747" w:type="pct"/>
            <w:gridSpan w:val="2"/>
            <w:tcBorders>
              <w:left w:val="nil"/>
              <w:bottom w:val="nil"/>
              <w:right w:val="nil"/>
            </w:tcBorders>
            <w:vAlign w:val="center"/>
          </w:tcPr>
          <w:p>
            <w:pPr>
              <w:rPr>
                <w:rFonts w:asciiTheme="minorHAnsi" w:hAnsiTheme="minorHAnsi" w:cstheme="minorHAnsi"/>
                <w:sz w:val="20"/>
                <w:szCs w:val="20"/>
              </w:rPr>
            </w:pPr>
          </w:p>
        </w:tc>
        <w:tc>
          <w:tcPr>
            <w:tcW w:w="852" w:type="pct"/>
            <w:tcBorders>
              <w:left w:val="nil"/>
              <w:bottom w:val="nil"/>
              <w:right w:val="nil"/>
            </w:tcBorders>
            <w:vAlign w:val="center"/>
          </w:tcPr>
          <w:p>
            <w:pPr>
              <w:rPr>
                <w:rFonts w:asciiTheme="minorHAnsi" w:hAnsiTheme="minorHAnsi" w:cstheme="minorHAnsi"/>
                <w:sz w:val="20"/>
                <w:szCs w:val="20"/>
              </w:rPr>
            </w:pPr>
          </w:p>
        </w:tc>
      </w:tr>
      <w:tr>
        <w:tc>
          <w:tcPr>
            <w:tcW w:w="2401" w:type="pct"/>
            <w:tcBorders>
              <w:top w:val="nil"/>
              <w:left w:val="nil"/>
              <w:right w:val="nil"/>
            </w:tcBorders>
            <w:vAlign w:val="center"/>
          </w:tcPr>
          <w:p>
            <w:pPr>
              <w:rPr>
                <w:rFonts w:asciiTheme="minorHAnsi" w:hAnsiTheme="minorHAnsi" w:cstheme="minorHAnsi"/>
                <w:sz w:val="20"/>
                <w:szCs w:val="20"/>
              </w:rPr>
            </w:pPr>
          </w:p>
        </w:tc>
        <w:tc>
          <w:tcPr>
            <w:tcW w:w="1747" w:type="pct"/>
            <w:gridSpan w:val="2"/>
            <w:tcBorders>
              <w:top w:val="nil"/>
              <w:left w:val="nil"/>
              <w:right w:val="nil"/>
            </w:tcBorders>
            <w:vAlign w:val="center"/>
          </w:tcPr>
          <w:p>
            <w:pPr>
              <w:rPr>
                <w:rFonts w:asciiTheme="minorHAnsi" w:hAnsiTheme="minorHAnsi" w:cstheme="minorHAnsi"/>
                <w:sz w:val="20"/>
                <w:szCs w:val="20"/>
              </w:rPr>
            </w:pPr>
          </w:p>
        </w:tc>
        <w:tc>
          <w:tcPr>
            <w:tcW w:w="852" w:type="pct"/>
            <w:tcBorders>
              <w:top w:val="nil"/>
              <w:left w:val="nil"/>
              <w:right w:val="nil"/>
            </w:tcBorders>
            <w:vAlign w:val="center"/>
          </w:tcPr>
          <w:p>
            <w:pPr>
              <w:rPr>
                <w:rFonts w:asciiTheme="minorHAnsi" w:hAnsiTheme="minorHAnsi" w:cstheme="minorHAnsi"/>
                <w:sz w:val="20"/>
                <w:szCs w:val="20"/>
              </w:rPr>
            </w:pPr>
          </w:p>
        </w:tc>
      </w:tr>
      <w:tr>
        <w:tc>
          <w:tcPr>
            <w:tcW w:w="5000" w:type="pct"/>
            <w:gridSpan w:val="4"/>
            <w:vAlign w:val="center"/>
          </w:tcPr>
          <w:p>
            <w:pPr>
              <w:spacing w:before="120" w:after="120"/>
              <w:jc w:val="center"/>
              <w:rPr>
                <w:rFonts w:asciiTheme="minorHAnsi" w:hAnsiTheme="minorHAnsi" w:cstheme="minorHAnsi"/>
              </w:rPr>
            </w:pPr>
            <w:r>
              <w:rPr>
                <w:rFonts w:asciiTheme="minorHAnsi" w:hAnsiTheme="minorHAnsi" w:cstheme="minorHAnsi"/>
                <w:b/>
              </w:rPr>
              <w:t>FREQUENTATION DES PUBLICS-CIBLES</w:t>
            </w:r>
          </w:p>
        </w:tc>
      </w:tr>
      <w:tr>
        <w:tc>
          <w:tcPr>
            <w:tcW w:w="2401" w:type="pct"/>
            <w:vAlign w:val="center"/>
          </w:tcPr>
          <w:p>
            <w:pPr>
              <w:rPr>
                <w:rFonts w:asciiTheme="minorHAnsi" w:hAnsiTheme="minorHAnsi" w:cstheme="minorHAnsi"/>
                <w:b/>
                <w:sz w:val="20"/>
                <w:szCs w:val="20"/>
              </w:rPr>
            </w:pPr>
          </w:p>
        </w:tc>
        <w:tc>
          <w:tcPr>
            <w:tcW w:w="757" w:type="pct"/>
            <w:vAlign w:val="center"/>
          </w:tcPr>
          <w:p>
            <w:pPr>
              <w:rPr>
                <w:rFonts w:asciiTheme="minorHAnsi" w:hAnsiTheme="minorHAnsi" w:cstheme="minorHAnsi"/>
                <w:sz w:val="20"/>
                <w:szCs w:val="20"/>
              </w:rPr>
            </w:pPr>
            <w:r>
              <w:rPr>
                <w:rFonts w:asciiTheme="minorHAnsi" w:hAnsiTheme="minorHAnsi" w:cstheme="minorHAnsi"/>
                <w:sz w:val="20"/>
                <w:szCs w:val="20"/>
              </w:rPr>
              <w:t>Nre de présences</w:t>
            </w:r>
          </w:p>
        </w:tc>
        <w:tc>
          <w:tcPr>
            <w:tcW w:w="990" w:type="pct"/>
            <w:vAlign w:val="center"/>
          </w:tcPr>
          <w:p>
            <w:pPr>
              <w:rPr>
                <w:rFonts w:asciiTheme="minorHAnsi" w:hAnsiTheme="minorHAnsi" w:cstheme="minorHAnsi"/>
                <w:sz w:val="20"/>
                <w:szCs w:val="20"/>
              </w:rPr>
            </w:pPr>
            <w:r>
              <w:rPr>
                <w:rFonts w:asciiTheme="minorHAnsi" w:hAnsiTheme="minorHAnsi" w:cstheme="minorHAnsi"/>
                <w:sz w:val="20"/>
                <w:szCs w:val="20"/>
              </w:rPr>
              <w:t>Nbre de ½-jours</w:t>
            </w:r>
          </w:p>
        </w:tc>
        <w:tc>
          <w:tcPr>
            <w:tcW w:w="852" w:type="pct"/>
            <w:vAlign w:val="center"/>
          </w:tcPr>
          <w:p>
            <w:pPr>
              <w:rPr>
                <w:rFonts w:asciiTheme="minorHAnsi" w:hAnsiTheme="minorHAnsi" w:cstheme="minorHAnsi"/>
                <w:sz w:val="20"/>
                <w:szCs w:val="20"/>
              </w:rPr>
            </w:pPr>
            <w:r>
              <w:rPr>
                <w:rFonts w:asciiTheme="minorHAnsi" w:hAnsiTheme="minorHAnsi" w:cstheme="minorHAnsi"/>
                <w:sz w:val="20"/>
                <w:szCs w:val="20"/>
              </w:rPr>
              <w:t>Nbre d’heures</w:t>
            </w:r>
          </w:p>
        </w:tc>
      </w:tr>
      <w:tr>
        <w:tc>
          <w:tcPr>
            <w:tcW w:w="5000" w:type="pct"/>
            <w:gridSpan w:val="4"/>
            <w:vAlign w:val="center"/>
          </w:tcPr>
          <w:p>
            <w:pPr>
              <w:spacing w:before="120" w:after="120"/>
              <w:jc w:val="center"/>
              <w:rPr>
                <w:rFonts w:asciiTheme="minorHAnsi" w:hAnsiTheme="minorHAnsi" w:cstheme="minorHAnsi"/>
                <w:b/>
                <w:i/>
                <w:sz w:val="20"/>
                <w:szCs w:val="20"/>
              </w:rPr>
            </w:pPr>
            <w:r>
              <w:rPr>
                <w:rFonts w:asciiTheme="minorHAnsi" w:hAnsiTheme="minorHAnsi" w:cstheme="minorHAnsi"/>
                <w:b/>
                <w:i/>
                <w:sz w:val="20"/>
                <w:szCs w:val="20"/>
              </w:rPr>
              <w:t>Elèves de l’enseignement obligatoire</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Elèves de l’établissement organisant un CTA</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rPr>
                <w:rFonts w:asciiTheme="minorHAnsi" w:hAnsiTheme="minorHAnsi" w:cstheme="minorHAnsi"/>
                <w:sz w:val="20"/>
                <w:szCs w:val="20"/>
              </w:rPr>
            </w:pPr>
            <w:r>
              <w:rPr>
                <w:rFonts w:asciiTheme="minorHAnsi" w:hAnsiTheme="minorHAnsi" w:cstheme="minorHAnsi"/>
                <w:sz w:val="20"/>
                <w:szCs w:val="20"/>
              </w:rPr>
              <w:t>Elèves externes :</w:t>
            </w:r>
          </w:p>
        </w:tc>
      </w:tr>
      <w:tr>
        <w:tc>
          <w:tcPr>
            <w:tcW w:w="5000" w:type="pct"/>
            <w:gridSpan w:val="4"/>
            <w:vAlign w:val="center"/>
          </w:tcPr>
          <w:p>
            <w:pPr>
              <w:numPr>
                <w:ilvl w:val="0"/>
                <w:numId w:val="104"/>
              </w:numPr>
              <w:rPr>
                <w:rFonts w:asciiTheme="minorHAnsi" w:hAnsiTheme="minorHAnsi" w:cstheme="minorHAnsi"/>
                <w:sz w:val="20"/>
                <w:szCs w:val="20"/>
              </w:rPr>
            </w:pPr>
            <w:r>
              <w:rPr>
                <w:rFonts w:asciiTheme="minorHAnsi" w:hAnsiTheme="minorHAnsi" w:cstheme="minorHAnsi"/>
                <w:sz w:val="20"/>
                <w:szCs w:val="20"/>
              </w:rPr>
              <w:t>3</w:t>
            </w:r>
            <w:r>
              <w:rPr>
                <w:rFonts w:asciiTheme="minorHAnsi" w:hAnsiTheme="minorHAnsi" w:cstheme="minorHAnsi"/>
                <w:sz w:val="20"/>
                <w:szCs w:val="20"/>
                <w:vertAlign w:val="superscript"/>
              </w:rPr>
              <w:t>e</w:t>
            </w:r>
            <w:r>
              <w:rPr>
                <w:rFonts w:asciiTheme="minorHAnsi" w:hAnsiTheme="minorHAnsi" w:cstheme="minorHAnsi"/>
                <w:sz w:val="20"/>
                <w:szCs w:val="20"/>
              </w:rPr>
              <w:t xml:space="preserve"> et 4</w:t>
            </w:r>
            <w:r>
              <w:rPr>
                <w:rFonts w:asciiTheme="minorHAnsi" w:hAnsiTheme="minorHAnsi" w:cstheme="minorHAnsi"/>
                <w:sz w:val="20"/>
                <w:szCs w:val="20"/>
                <w:vertAlign w:val="superscript"/>
              </w:rPr>
              <w:t>e</w:t>
            </w:r>
            <w:r>
              <w:rPr>
                <w:rFonts w:asciiTheme="minorHAnsi" w:hAnsiTheme="minorHAnsi" w:cstheme="minorHAnsi"/>
                <w:sz w:val="20"/>
                <w:szCs w:val="20"/>
              </w:rPr>
              <w:t xml:space="preserve"> degré technique de qualification et professionnel de l’enseignement secondaire ordinaire de plein exercice</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FWB</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CPEONS</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FELSI</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SEGEC</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numPr>
                <w:ilvl w:val="0"/>
                <w:numId w:val="104"/>
              </w:numPr>
              <w:rPr>
                <w:rFonts w:asciiTheme="minorHAnsi" w:hAnsiTheme="minorHAnsi" w:cstheme="minorHAnsi"/>
                <w:sz w:val="20"/>
                <w:szCs w:val="20"/>
              </w:rPr>
            </w:pPr>
            <w:r>
              <w:rPr>
                <w:rFonts w:asciiTheme="minorHAnsi" w:hAnsiTheme="minorHAnsi" w:cstheme="minorHAnsi"/>
                <w:sz w:val="20"/>
                <w:szCs w:val="20"/>
              </w:rPr>
              <w:t>3</w:t>
            </w:r>
            <w:r>
              <w:rPr>
                <w:rFonts w:asciiTheme="minorHAnsi" w:hAnsiTheme="minorHAnsi" w:cstheme="minorHAnsi"/>
                <w:sz w:val="20"/>
                <w:szCs w:val="20"/>
                <w:vertAlign w:val="superscript"/>
              </w:rPr>
              <w:t>e</w:t>
            </w:r>
            <w:r>
              <w:rPr>
                <w:rFonts w:asciiTheme="minorHAnsi" w:hAnsiTheme="minorHAnsi" w:cstheme="minorHAnsi"/>
                <w:sz w:val="20"/>
                <w:szCs w:val="20"/>
              </w:rPr>
              <w:t xml:space="preserve"> degré de l’enseignement secondaire spécialisé de forme 4</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FWB</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CPEONS</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FELSI</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SEGEC</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numPr>
                <w:ilvl w:val="0"/>
                <w:numId w:val="104"/>
              </w:numPr>
              <w:rPr>
                <w:rFonts w:asciiTheme="minorHAnsi" w:hAnsiTheme="minorHAnsi" w:cstheme="minorHAnsi"/>
                <w:sz w:val="20"/>
                <w:szCs w:val="20"/>
              </w:rPr>
            </w:pPr>
            <w:r>
              <w:rPr>
                <w:rFonts w:asciiTheme="minorHAnsi" w:hAnsiTheme="minorHAnsi" w:cstheme="minorHAnsi"/>
                <w:sz w:val="20"/>
                <w:szCs w:val="20"/>
              </w:rPr>
              <w:t>3</w:t>
            </w:r>
            <w:r>
              <w:rPr>
                <w:rFonts w:asciiTheme="minorHAnsi" w:hAnsiTheme="minorHAnsi" w:cstheme="minorHAnsi"/>
                <w:sz w:val="20"/>
                <w:szCs w:val="20"/>
                <w:vertAlign w:val="superscript"/>
              </w:rPr>
              <w:t>e</w:t>
            </w:r>
            <w:r>
              <w:rPr>
                <w:rFonts w:asciiTheme="minorHAnsi" w:hAnsiTheme="minorHAnsi" w:cstheme="minorHAnsi"/>
                <w:sz w:val="20"/>
                <w:szCs w:val="20"/>
              </w:rPr>
              <w:t xml:space="preserve"> phase de l’enseignement secondaire spécialisé de forme 3</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FWB</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CPEONS</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FELSI</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SEGEC</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bl>
    <w:p>
      <w: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2"/>
        <w:gridCol w:w="1372"/>
        <w:gridCol w:w="1794"/>
        <w:gridCol w:w="1544"/>
      </w:tblGrid>
      <w:tr>
        <w:tc>
          <w:tcPr>
            <w:tcW w:w="5000" w:type="pct"/>
            <w:gridSpan w:val="4"/>
            <w:vAlign w:val="center"/>
          </w:tcPr>
          <w:p>
            <w:pPr>
              <w:numPr>
                <w:ilvl w:val="0"/>
                <w:numId w:val="104"/>
              </w:numPr>
              <w:rPr>
                <w:rFonts w:asciiTheme="minorHAnsi" w:hAnsiTheme="minorHAnsi" w:cstheme="minorHAnsi"/>
                <w:sz w:val="20"/>
                <w:szCs w:val="20"/>
              </w:rPr>
            </w:pPr>
            <w:r>
              <w:rPr>
                <w:rFonts w:asciiTheme="minorHAnsi" w:hAnsiTheme="minorHAnsi" w:cstheme="minorHAnsi"/>
                <w:sz w:val="20"/>
                <w:szCs w:val="20"/>
              </w:rPr>
              <w:lastRenderedPageBreak/>
              <w:t>CEFA</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FWB</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CPEONS</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FELSI</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SEGEC</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numPr>
                <w:ilvl w:val="0"/>
                <w:numId w:val="104"/>
              </w:numPr>
              <w:rPr>
                <w:rFonts w:asciiTheme="minorHAnsi" w:hAnsiTheme="minorHAnsi" w:cstheme="minorHAnsi"/>
                <w:sz w:val="20"/>
                <w:szCs w:val="20"/>
              </w:rPr>
            </w:pPr>
            <w:r>
              <w:rPr>
                <w:rFonts w:asciiTheme="minorHAnsi" w:hAnsiTheme="minorHAnsi" w:cstheme="minorHAnsi"/>
                <w:sz w:val="20"/>
                <w:szCs w:val="20"/>
              </w:rPr>
              <w:t>3</w:t>
            </w:r>
            <w:r>
              <w:rPr>
                <w:rFonts w:asciiTheme="minorHAnsi" w:hAnsiTheme="minorHAnsi" w:cstheme="minorHAnsi"/>
                <w:sz w:val="20"/>
                <w:szCs w:val="20"/>
                <w:vertAlign w:val="superscript"/>
              </w:rPr>
              <w:t>e</w:t>
            </w:r>
            <w:r>
              <w:rPr>
                <w:rFonts w:asciiTheme="minorHAnsi" w:hAnsiTheme="minorHAnsi" w:cstheme="minorHAnsi"/>
                <w:sz w:val="20"/>
                <w:szCs w:val="20"/>
              </w:rPr>
              <w:t xml:space="preserve"> degré technique de transition de l’enseignement secondaire ordinaire de plein exercice</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FWB</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CPEONS</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FELSI</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SEGEC</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numPr>
                <w:ilvl w:val="0"/>
                <w:numId w:val="104"/>
              </w:numPr>
              <w:rPr>
                <w:rFonts w:asciiTheme="minorHAnsi" w:hAnsiTheme="minorHAnsi" w:cstheme="minorHAnsi"/>
                <w:sz w:val="20"/>
                <w:szCs w:val="20"/>
              </w:rPr>
            </w:pPr>
            <w:r>
              <w:rPr>
                <w:rFonts w:asciiTheme="minorHAnsi" w:hAnsiTheme="minorHAnsi" w:cstheme="minorHAnsi"/>
                <w:sz w:val="20"/>
                <w:szCs w:val="20"/>
              </w:rPr>
              <w:t>4</w:t>
            </w:r>
            <w:r>
              <w:rPr>
                <w:rFonts w:asciiTheme="minorHAnsi" w:hAnsiTheme="minorHAnsi" w:cstheme="minorHAnsi"/>
                <w:sz w:val="20"/>
                <w:szCs w:val="20"/>
                <w:vertAlign w:val="superscript"/>
              </w:rPr>
              <w:t>e</w:t>
            </w:r>
            <w:r>
              <w:rPr>
                <w:rFonts w:asciiTheme="minorHAnsi" w:hAnsiTheme="minorHAnsi" w:cstheme="minorHAnsi"/>
                <w:sz w:val="20"/>
                <w:szCs w:val="20"/>
              </w:rPr>
              <w:t xml:space="preserve"> année de l’enseignement secondaire ordinaire et spécialisé de forme 4 organisée dans le régime de la CPU</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FWB</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CPEONS</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FELSI</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SEGEC</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spacing w:before="120" w:after="120"/>
              <w:jc w:val="center"/>
              <w:rPr>
                <w:rFonts w:asciiTheme="minorHAnsi" w:hAnsiTheme="minorHAnsi" w:cstheme="minorHAnsi"/>
                <w:b/>
                <w:i/>
                <w:sz w:val="20"/>
                <w:szCs w:val="20"/>
              </w:rPr>
            </w:pPr>
            <w:r>
              <w:rPr>
                <w:rFonts w:asciiTheme="minorHAnsi" w:hAnsiTheme="minorHAnsi" w:cstheme="minorHAnsi"/>
                <w:b/>
                <w:i/>
                <w:sz w:val="20"/>
                <w:szCs w:val="20"/>
              </w:rPr>
              <w:t>Elèves de l’enseignement obligatoire non subventionnables</w:t>
            </w:r>
          </w:p>
        </w:tc>
      </w:tr>
      <w:tr>
        <w:tc>
          <w:tcPr>
            <w:tcW w:w="5000" w:type="pct"/>
            <w:gridSpan w:val="4"/>
            <w:vAlign w:val="center"/>
          </w:tcPr>
          <w:p>
            <w:pPr>
              <w:numPr>
                <w:ilvl w:val="0"/>
                <w:numId w:val="104"/>
              </w:numPr>
              <w:rPr>
                <w:rFonts w:asciiTheme="minorHAnsi" w:hAnsiTheme="minorHAnsi" w:cstheme="minorHAnsi"/>
                <w:sz w:val="20"/>
                <w:szCs w:val="20"/>
              </w:rPr>
            </w:pPr>
            <w:r>
              <w:rPr>
                <w:rFonts w:asciiTheme="minorHAnsi" w:hAnsiTheme="minorHAnsi" w:cstheme="minorHAnsi"/>
                <w:sz w:val="20"/>
                <w:szCs w:val="20"/>
              </w:rPr>
              <w:t>1</w:t>
            </w:r>
            <w:r>
              <w:rPr>
                <w:rFonts w:asciiTheme="minorHAnsi" w:hAnsiTheme="minorHAnsi" w:cstheme="minorHAnsi"/>
                <w:sz w:val="20"/>
                <w:szCs w:val="20"/>
                <w:vertAlign w:val="superscript"/>
              </w:rPr>
              <w:t>er</w:t>
            </w:r>
            <w:r>
              <w:rPr>
                <w:rFonts w:asciiTheme="minorHAnsi" w:hAnsiTheme="minorHAnsi" w:cstheme="minorHAnsi"/>
                <w:sz w:val="20"/>
                <w:szCs w:val="20"/>
              </w:rPr>
              <w:t xml:space="preserve"> de l’enseignement secondaire </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FWB</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CPEONS</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FELSI</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SEGEC</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numPr>
                <w:ilvl w:val="0"/>
                <w:numId w:val="104"/>
              </w:numPr>
              <w:rPr>
                <w:rFonts w:asciiTheme="minorHAnsi" w:hAnsiTheme="minorHAnsi" w:cstheme="minorHAnsi"/>
                <w:sz w:val="20"/>
                <w:szCs w:val="20"/>
              </w:rPr>
            </w:pPr>
            <w:r>
              <w:rPr>
                <w:rFonts w:asciiTheme="minorHAnsi" w:hAnsiTheme="minorHAnsi" w:cstheme="minorHAnsi"/>
                <w:sz w:val="20"/>
                <w:szCs w:val="20"/>
              </w:rPr>
              <w:t xml:space="preserve">dernier cycle de l’enseignement fondamental </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FWB</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CPEONS</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FELSI</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SEGEC</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spacing w:before="120" w:after="120"/>
              <w:jc w:val="center"/>
              <w:rPr>
                <w:rFonts w:asciiTheme="minorHAnsi" w:hAnsiTheme="minorHAnsi" w:cstheme="minorHAnsi"/>
                <w:b/>
                <w:i/>
                <w:sz w:val="20"/>
                <w:szCs w:val="20"/>
              </w:rPr>
            </w:pPr>
            <w:r>
              <w:rPr>
                <w:rFonts w:asciiTheme="minorHAnsi" w:hAnsiTheme="minorHAnsi" w:cstheme="minorHAnsi"/>
                <w:b/>
                <w:i/>
                <w:sz w:val="20"/>
                <w:szCs w:val="20"/>
              </w:rPr>
              <w:t>Etudiants</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Etudiants de l’enseignement de promotion sociale</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Etudiants de l’enseignement supérieur</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spacing w:before="120" w:after="120"/>
              <w:jc w:val="center"/>
              <w:rPr>
                <w:rFonts w:asciiTheme="minorHAnsi" w:hAnsiTheme="minorHAnsi" w:cstheme="minorHAnsi"/>
                <w:b/>
                <w:i/>
                <w:sz w:val="20"/>
                <w:szCs w:val="20"/>
              </w:rPr>
            </w:pPr>
            <w:r>
              <w:rPr>
                <w:rFonts w:asciiTheme="minorHAnsi" w:hAnsiTheme="minorHAnsi" w:cstheme="minorHAnsi"/>
                <w:b/>
                <w:i/>
                <w:sz w:val="20"/>
                <w:szCs w:val="20"/>
              </w:rPr>
              <w:t>Enseignants</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Etablissements scolaires/CTA</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Fournisseurs</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IFC</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FORCAR</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FCC</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Autres opérateurs-utilisateurs</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spacing w:before="120" w:after="120"/>
              <w:jc w:val="center"/>
              <w:rPr>
                <w:rFonts w:asciiTheme="minorHAnsi" w:hAnsiTheme="minorHAnsi" w:cstheme="minorHAnsi"/>
                <w:b/>
                <w:i/>
                <w:sz w:val="20"/>
                <w:szCs w:val="20"/>
              </w:rPr>
            </w:pPr>
            <w:r>
              <w:rPr>
                <w:rFonts w:asciiTheme="minorHAnsi" w:hAnsiTheme="minorHAnsi" w:cstheme="minorHAnsi"/>
                <w:b/>
                <w:i/>
                <w:sz w:val="20"/>
                <w:szCs w:val="20"/>
              </w:rPr>
              <w:t>Demandeurs d’emploi</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FOREM</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Bruxelles-Formation</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Autres opérateurs de formation</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spacing w:before="120" w:after="120"/>
              <w:jc w:val="center"/>
              <w:rPr>
                <w:rFonts w:asciiTheme="minorHAnsi" w:hAnsiTheme="minorHAnsi" w:cstheme="minorHAnsi"/>
                <w:b/>
                <w:i/>
                <w:sz w:val="20"/>
                <w:szCs w:val="20"/>
              </w:rPr>
            </w:pPr>
            <w:r>
              <w:rPr>
                <w:rFonts w:asciiTheme="minorHAnsi" w:hAnsiTheme="minorHAnsi" w:cstheme="minorHAnsi"/>
                <w:b/>
                <w:i/>
                <w:sz w:val="20"/>
                <w:szCs w:val="20"/>
              </w:rPr>
              <w:t>Travailleurs</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FOREM</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Bruxelles-Formation</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Autres opérateurs de formation</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spacing w:before="120" w:after="120"/>
              <w:jc w:val="center"/>
              <w:rPr>
                <w:rFonts w:asciiTheme="minorHAnsi" w:hAnsiTheme="minorHAnsi" w:cstheme="minorHAnsi"/>
                <w:b/>
                <w:i/>
                <w:sz w:val="20"/>
                <w:szCs w:val="20"/>
              </w:rPr>
            </w:pPr>
            <w:r>
              <w:rPr>
                <w:rFonts w:asciiTheme="minorHAnsi" w:hAnsiTheme="minorHAnsi" w:cstheme="minorHAnsi"/>
                <w:b/>
                <w:i/>
                <w:sz w:val="20"/>
                <w:szCs w:val="20"/>
              </w:rPr>
              <w:t>Apprenants</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IFAPME</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SFPME</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AWHIP</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5000" w:type="pct"/>
            <w:gridSpan w:val="4"/>
            <w:vAlign w:val="center"/>
          </w:tcPr>
          <w:p>
            <w:pPr>
              <w:spacing w:before="120" w:after="120"/>
              <w:jc w:val="center"/>
              <w:rPr>
                <w:rFonts w:asciiTheme="minorHAnsi" w:hAnsiTheme="minorHAnsi" w:cstheme="minorHAnsi"/>
                <w:b/>
                <w:i/>
                <w:sz w:val="20"/>
                <w:szCs w:val="20"/>
              </w:rPr>
            </w:pPr>
            <w:r>
              <w:rPr>
                <w:rFonts w:asciiTheme="minorHAnsi" w:hAnsiTheme="minorHAnsi" w:cstheme="minorHAnsi"/>
                <w:b/>
                <w:i/>
                <w:sz w:val="20"/>
                <w:szCs w:val="20"/>
              </w:rPr>
              <w:lastRenderedPageBreak/>
              <w:t>Formateurs</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FOREM</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Bruxelles-Formation</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Autres opérateurs de formation professionnelle</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IFAPME</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SFPME</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AWIPH</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tcBorders>
              <w:left w:val="nil"/>
              <w:bottom w:val="nil"/>
              <w:right w:val="nil"/>
            </w:tcBorders>
            <w:vAlign w:val="center"/>
          </w:tcPr>
          <w:p>
            <w:pPr>
              <w:rPr>
                <w:rFonts w:asciiTheme="minorHAnsi" w:hAnsiTheme="minorHAnsi" w:cstheme="minorHAnsi"/>
                <w:sz w:val="20"/>
                <w:szCs w:val="20"/>
              </w:rPr>
            </w:pPr>
          </w:p>
        </w:tc>
        <w:tc>
          <w:tcPr>
            <w:tcW w:w="1747" w:type="pct"/>
            <w:gridSpan w:val="2"/>
            <w:tcBorders>
              <w:left w:val="nil"/>
              <w:bottom w:val="nil"/>
              <w:right w:val="nil"/>
            </w:tcBorders>
            <w:vAlign w:val="center"/>
          </w:tcPr>
          <w:p>
            <w:pPr>
              <w:rPr>
                <w:rFonts w:asciiTheme="minorHAnsi" w:hAnsiTheme="minorHAnsi" w:cstheme="minorHAnsi"/>
                <w:sz w:val="20"/>
                <w:szCs w:val="20"/>
              </w:rPr>
            </w:pPr>
          </w:p>
        </w:tc>
        <w:tc>
          <w:tcPr>
            <w:tcW w:w="852" w:type="pct"/>
            <w:tcBorders>
              <w:left w:val="nil"/>
              <w:bottom w:val="nil"/>
              <w:right w:val="nil"/>
            </w:tcBorders>
            <w:vAlign w:val="center"/>
          </w:tcPr>
          <w:p>
            <w:pPr>
              <w:rPr>
                <w:rFonts w:asciiTheme="minorHAnsi" w:hAnsiTheme="minorHAnsi" w:cstheme="minorHAnsi"/>
                <w:sz w:val="20"/>
                <w:szCs w:val="20"/>
              </w:rPr>
            </w:pPr>
          </w:p>
        </w:tc>
      </w:tr>
      <w:tr>
        <w:tc>
          <w:tcPr>
            <w:tcW w:w="2401" w:type="pct"/>
            <w:tcBorders>
              <w:top w:val="nil"/>
              <w:left w:val="nil"/>
              <w:right w:val="nil"/>
            </w:tcBorders>
            <w:vAlign w:val="center"/>
          </w:tcPr>
          <w:p>
            <w:pPr>
              <w:rPr>
                <w:rFonts w:asciiTheme="minorHAnsi" w:hAnsiTheme="minorHAnsi" w:cstheme="minorHAnsi"/>
                <w:sz w:val="20"/>
                <w:szCs w:val="20"/>
              </w:rPr>
            </w:pPr>
          </w:p>
        </w:tc>
        <w:tc>
          <w:tcPr>
            <w:tcW w:w="1747" w:type="pct"/>
            <w:gridSpan w:val="2"/>
            <w:tcBorders>
              <w:top w:val="nil"/>
              <w:left w:val="nil"/>
              <w:right w:val="nil"/>
            </w:tcBorders>
            <w:vAlign w:val="center"/>
          </w:tcPr>
          <w:p>
            <w:pPr>
              <w:rPr>
                <w:rFonts w:asciiTheme="minorHAnsi" w:hAnsiTheme="minorHAnsi" w:cstheme="minorHAnsi"/>
                <w:sz w:val="20"/>
                <w:szCs w:val="20"/>
              </w:rPr>
            </w:pPr>
          </w:p>
        </w:tc>
        <w:tc>
          <w:tcPr>
            <w:tcW w:w="852" w:type="pct"/>
            <w:tcBorders>
              <w:top w:val="nil"/>
              <w:left w:val="nil"/>
              <w:right w:val="nil"/>
            </w:tcBorders>
            <w:vAlign w:val="center"/>
          </w:tcPr>
          <w:p>
            <w:pPr>
              <w:rPr>
                <w:rFonts w:asciiTheme="minorHAnsi" w:hAnsiTheme="minorHAnsi" w:cstheme="minorHAnsi"/>
                <w:sz w:val="20"/>
                <w:szCs w:val="20"/>
              </w:rPr>
            </w:pPr>
          </w:p>
        </w:tc>
      </w:tr>
      <w:tr>
        <w:tc>
          <w:tcPr>
            <w:tcW w:w="5000" w:type="pct"/>
            <w:gridSpan w:val="4"/>
            <w:vAlign w:val="center"/>
          </w:tcPr>
          <w:p>
            <w:pPr>
              <w:spacing w:before="120" w:after="120"/>
              <w:jc w:val="center"/>
              <w:rPr>
                <w:rFonts w:asciiTheme="minorHAnsi" w:hAnsiTheme="minorHAnsi" w:cstheme="minorHAnsi"/>
                <w:b/>
              </w:rPr>
            </w:pPr>
            <w:r>
              <w:rPr>
                <w:rFonts w:asciiTheme="minorHAnsi" w:hAnsiTheme="minorHAnsi" w:cstheme="minorHAnsi"/>
                <w:b/>
              </w:rPr>
              <w:t>FREQUENTATION HORS PUBLICS-CIBLES</w:t>
            </w: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Elèves du 2</w:t>
            </w:r>
            <w:r>
              <w:rPr>
                <w:rFonts w:asciiTheme="minorHAnsi" w:hAnsiTheme="minorHAnsi" w:cstheme="minorHAnsi"/>
                <w:sz w:val="20"/>
                <w:szCs w:val="20"/>
                <w:vertAlign w:val="superscript"/>
              </w:rPr>
              <w:t>e</w:t>
            </w:r>
            <w:r>
              <w:rPr>
                <w:rFonts w:asciiTheme="minorHAnsi" w:hAnsiTheme="minorHAnsi" w:cstheme="minorHAnsi"/>
                <w:sz w:val="20"/>
                <w:szCs w:val="20"/>
              </w:rPr>
              <w:t xml:space="preserve"> degré de l’enseignement secondaire</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r>
        <w:tc>
          <w:tcPr>
            <w:tcW w:w="2401" w:type="pct"/>
            <w:vAlign w:val="center"/>
          </w:tcPr>
          <w:p>
            <w:pPr>
              <w:rPr>
                <w:rFonts w:asciiTheme="minorHAnsi" w:hAnsiTheme="minorHAnsi" w:cstheme="minorHAnsi"/>
                <w:sz w:val="20"/>
                <w:szCs w:val="20"/>
              </w:rPr>
            </w:pPr>
            <w:r>
              <w:rPr>
                <w:rFonts w:asciiTheme="minorHAnsi" w:hAnsiTheme="minorHAnsi" w:cstheme="minorHAnsi"/>
                <w:sz w:val="20"/>
                <w:szCs w:val="20"/>
              </w:rPr>
              <w:t>Autre (à préciser) :</w:t>
            </w:r>
          </w:p>
        </w:tc>
        <w:tc>
          <w:tcPr>
            <w:tcW w:w="757" w:type="pct"/>
            <w:vAlign w:val="center"/>
          </w:tcPr>
          <w:p>
            <w:pPr>
              <w:rPr>
                <w:rFonts w:asciiTheme="minorHAnsi" w:hAnsiTheme="minorHAnsi" w:cstheme="minorHAnsi"/>
                <w:sz w:val="20"/>
                <w:szCs w:val="20"/>
              </w:rPr>
            </w:pPr>
          </w:p>
        </w:tc>
        <w:tc>
          <w:tcPr>
            <w:tcW w:w="990" w:type="pct"/>
            <w:vAlign w:val="center"/>
          </w:tcPr>
          <w:p>
            <w:pPr>
              <w:rPr>
                <w:rFonts w:asciiTheme="minorHAnsi" w:hAnsiTheme="minorHAnsi" w:cstheme="minorHAnsi"/>
                <w:sz w:val="20"/>
                <w:szCs w:val="20"/>
              </w:rPr>
            </w:pPr>
          </w:p>
        </w:tc>
        <w:tc>
          <w:tcPr>
            <w:tcW w:w="852" w:type="pct"/>
            <w:vAlign w:val="center"/>
          </w:tcPr>
          <w:p>
            <w:pPr>
              <w:rPr>
                <w:rFonts w:asciiTheme="minorHAnsi" w:hAnsiTheme="minorHAnsi" w:cstheme="minorHAnsi"/>
                <w:sz w:val="20"/>
                <w:szCs w:val="20"/>
              </w:rPr>
            </w:pPr>
          </w:p>
        </w:tc>
      </w:tr>
    </w:tbl>
    <w:p>
      <w:pPr>
        <w:spacing w:after="120"/>
        <w:rPr>
          <w:rFonts w:ascii="Calibri" w:hAnsi="Calibri" w:cs="Calibri"/>
          <w:sz w:val="22"/>
          <w:szCs w:val="22"/>
        </w:rPr>
      </w:pPr>
    </w:p>
    <w:p>
      <w:pPr>
        <w:numPr>
          <w:ilvl w:val="0"/>
          <w:numId w:val="13"/>
        </w:numPr>
        <w:spacing w:after="120"/>
        <w:rPr>
          <w:rFonts w:ascii="Calibri" w:hAnsi="Calibri" w:cs="Calibri"/>
          <w:b/>
          <w:sz w:val="22"/>
          <w:szCs w:val="22"/>
        </w:rPr>
      </w:pPr>
      <w:r>
        <w:rPr>
          <w:rFonts w:ascii="Calibri" w:hAnsi="Calibri" w:cs="Calibri"/>
          <w:b/>
          <w:sz w:val="22"/>
          <w:szCs w:val="22"/>
        </w:rPr>
        <w:t>PARTIE QUALITATIVE</w:t>
      </w:r>
    </w:p>
    <w:p>
      <w:pPr>
        <w:spacing w:after="120"/>
        <w:rPr>
          <w:rFonts w:ascii="Calibri" w:hAnsi="Calibri" w:cs="Calibri"/>
          <w:sz w:val="22"/>
          <w:szCs w:val="22"/>
        </w:rPr>
      </w:pPr>
    </w:p>
    <w:p>
      <w:pPr>
        <w:pStyle w:val="Paragraphedeliste1"/>
        <w:numPr>
          <w:ilvl w:val="0"/>
          <w:numId w:val="12"/>
        </w:numPr>
        <w:spacing w:after="120"/>
        <w:ind w:left="426"/>
        <w:contextualSpacing w:val="0"/>
        <w:jc w:val="both"/>
        <w:rPr>
          <w:rFonts w:ascii="Calibri" w:hAnsi="Calibri" w:cs="Calibri"/>
          <w:sz w:val="22"/>
          <w:szCs w:val="22"/>
        </w:rPr>
      </w:pPr>
      <w:r>
        <w:rPr>
          <w:rFonts w:ascii="Calibri" w:hAnsi="Calibri" w:cs="Calibri"/>
          <w:sz w:val="22"/>
          <w:szCs w:val="22"/>
        </w:rPr>
        <w:t xml:space="preserve">Quelles démarches ont été entreprises pour sensibiliser les utilisateurs potentiels du CTA ? </w:t>
      </w:r>
    </w:p>
    <w:p>
      <w:pPr>
        <w:pStyle w:val="Paragraphedeliste1"/>
        <w:spacing w:after="120"/>
        <w:ind w:left="426"/>
        <w:contextualSpacing w:val="0"/>
        <w:jc w:val="both"/>
        <w:rPr>
          <w:rFonts w:ascii="Calibri" w:hAnsi="Calibri" w:cs="Calibri"/>
          <w:i/>
          <w:sz w:val="22"/>
          <w:szCs w:val="22"/>
        </w:rPr>
      </w:pPr>
      <w:r>
        <w:rPr>
          <w:rFonts w:ascii="Calibri" w:hAnsi="Calibri" w:cs="Calibri"/>
          <w:i/>
          <w:sz w:val="22"/>
          <w:szCs w:val="22"/>
        </w:rPr>
        <w:t>(On demande ici des précisions, notamment quant au nombre de démarches, à la liste précise des utilisateurs contactés, au type de démarche, aux effets constatés de ces démarches, etc.)</w:t>
      </w:r>
    </w:p>
    <w:p>
      <w:pPr>
        <w:spacing w:after="120"/>
        <w:ind w:left="426"/>
        <w:jc w:val="both"/>
        <w:rPr>
          <w:rFonts w:ascii="Calibri" w:hAnsi="Calibri" w:cs="Calibri"/>
          <w:i/>
          <w:sz w:val="22"/>
          <w:szCs w:val="22"/>
        </w:rPr>
      </w:pPr>
    </w:p>
    <w:p>
      <w:pPr>
        <w:pStyle w:val="Paragraphedeliste1"/>
        <w:numPr>
          <w:ilvl w:val="0"/>
          <w:numId w:val="12"/>
        </w:numPr>
        <w:spacing w:after="120"/>
        <w:ind w:left="426"/>
        <w:contextualSpacing w:val="0"/>
        <w:jc w:val="both"/>
        <w:rPr>
          <w:rFonts w:ascii="Calibri" w:hAnsi="Calibri" w:cs="Calibri"/>
          <w:sz w:val="22"/>
          <w:szCs w:val="22"/>
        </w:rPr>
      </w:pPr>
      <w:r>
        <w:rPr>
          <w:rFonts w:ascii="Calibri" w:hAnsi="Calibri" w:cs="Calibri"/>
          <w:sz w:val="22"/>
          <w:szCs w:val="22"/>
        </w:rPr>
        <w:t>Quelles démarches ont été entreprises afin de permettre au CTA de remplir sa mission d’ouverture sans discrimination à tous les publics ?</w:t>
      </w:r>
    </w:p>
    <w:p>
      <w:pPr>
        <w:pStyle w:val="Paragraphedeliste1"/>
        <w:spacing w:after="120"/>
        <w:ind w:left="426"/>
        <w:contextualSpacing w:val="0"/>
        <w:jc w:val="both"/>
        <w:rPr>
          <w:rFonts w:ascii="Calibri" w:hAnsi="Calibri" w:cs="Calibri"/>
          <w:i/>
          <w:sz w:val="22"/>
          <w:szCs w:val="22"/>
        </w:rPr>
      </w:pPr>
      <w:r>
        <w:rPr>
          <w:rFonts w:ascii="Calibri" w:hAnsi="Calibri" w:cs="Calibri"/>
          <w:i/>
          <w:sz w:val="22"/>
          <w:szCs w:val="22"/>
        </w:rPr>
        <w:t>(Des précisions sont demandées quant aux actions menées pour ouvrir le CTA aux autres réseaux d’enseignement, aux collaborations avec le Forem, Actiris, Bruxelles Formation, etc.)</w:t>
      </w:r>
    </w:p>
    <w:p>
      <w:pPr>
        <w:pStyle w:val="Paragraphedeliste1"/>
        <w:spacing w:after="120"/>
        <w:ind w:left="426"/>
        <w:contextualSpacing w:val="0"/>
        <w:jc w:val="both"/>
        <w:rPr>
          <w:rFonts w:ascii="Calibri" w:hAnsi="Calibri" w:cs="Calibri"/>
          <w:sz w:val="22"/>
          <w:szCs w:val="22"/>
        </w:rPr>
      </w:pPr>
    </w:p>
    <w:p>
      <w:pPr>
        <w:pStyle w:val="Paragraphedeliste1"/>
        <w:numPr>
          <w:ilvl w:val="0"/>
          <w:numId w:val="12"/>
        </w:numPr>
        <w:spacing w:after="120"/>
        <w:ind w:left="426"/>
        <w:contextualSpacing w:val="0"/>
        <w:jc w:val="both"/>
        <w:rPr>
          <w:rFonts w:ascii="Calibri" w:hAnsi="Calibri" w:cs="Calibri"/>
          <w:sz w:val="22"/>
          <w:szCs w:val="22"/>
        </w:rPr>
      </w:pPr>
      <w:r>
        <w:rPr>
          <w:rFonts w:ascii="Calibri" w:hAnsi="Calibri" w:cs="Calibri"/>
          <w:sz w:val="22"/>
          <w:szCs w:val="22"/>
        </w:rPr>
        <w:t xml:space="preserve">Quels outils pédagogiques et quels catalogues de formations sont mis à la disposition des utilisateurs ? </w:t>
      </w:r>
    </w:p>
    <w:p>
      <w:pPr>
        <w:spacing w:after="120"/>
        <w:ind w:left="426"/>
        <w:jc w:val="both"/>
        <w:rPr>
          <w:rFonts w:ascii="Calibri" w:hAnsi="Calibri" w:cs="Calibri"/>
          <w:i/>
          <w:sz w:val="22"/>
          <w:szCs w:val="22"/>
        </w:rPr>
      </w:pPr>
      <w:r>
        <w:rPr>
          <w:rFonts w:ascii="Calibri" w:hAnsi="Calibri" w:cs="Calibri"/>
          <w:i/>
          <w:sz w:val="22"/>
          <w:szCs w:val="22"/>
        </w:rPr>
        <w:t>(On demande ici des précisions, notamment quant au type d’outils, au nombre d’outils, à leur utilisation, etc. Une liste des outils pédagogiques et le catalogue des formations doivent être joints en annexe.)</w:t>
      </w:r>
    </w:p>
    <w:p>
      <w:pPr>
        <w:pStyle w:val="Paragraphedeliste1"/>
        <w:spacing w:after="120"/>
        <w:ind w:left="426"/>
        <w:contextualSpacing w:val="0"/>
        <w:jc w:val="both"/>
        <w:rPr>
          <w:rFonts w:ascii="Calibri" w:hAnsi="Calibri" w:cs="Calibri"/>
          <w:i/>
          <w:sz w:val="22"/>
          <w:szCs w:val="22"/>
        </w:rPr>
      </w:pPr>
    </w:p>
    <w:p>
      <w:pPr>
        <w:pStyle w:val="Paragraphedeliste1"/>
        <w:numPr>
          <w:ilvl w:val="0"/>
          <w:numId w:val="12"/>
        </w:numPr>
        <w:spacing w:after="120"/>
        <w:ind w:left="426"/>
        <w:contextualSpacing w:val="0"/>
        <w:jc w:val="both"/>
        <w:rPr>
          <w:rFonts w:ascii="Calibri" w:hAnsi="Calibri" w:cs="Calibri"/>
          <w:sz w:val="22"/>
          <w:szCs w:val="22"/>
        </w:rPr>
      </w:pPr>
      <w:r>
        <w:rPr>
          <w:rFonts w:ascii="Calibri" w:hAnsi="Calibri" w:cs="Calibri"/>
          <w:sz w:val="22"/>
          <w:szCs w:val="22"/>
        </w:rPr>
        <w:t>Quelles difficultés ont-elles été rencontrées dans la gestion du CTA ?</w:t>
      </w:r>
    </w:p>
    <w:p>
      <w:pPr>
        <w:pStyle w:val="Paragraphedeliste1"/>
        <w:spacing w:after="120"/>
        <w:ind w:left="426"/>
        <w:contextualSpacing w:val="0"/>
        <w:jc w:val="both"/>
        <w:rPr>
          <w:rFonts w:ascii="Calibri" w:hAnsi="Calibri" w:cs="Calibri"/>
          <w:i/>
          <w:sz w:val="22"/>
          <w:szCs w:val="22"/>
        </w:rPr>
      </w:pPr>
      <w:r>
        <w:rPr>
          <w:rFonts w:ascii="Calibri" w:hAnsi="Calibri" w:cs="Calibri"/>
          <w:i/>
          <w:sz w:val="22"/>
          <w:szCs w:val="22"/>
        </w:rPr>
        <w:t>(On demande ici des précisions, par exemple par rapport à l’organisation du temps, aux frais, aux difficultés rencontrées par rapport aux utilisateurs, à l’administration, etc.)</w:t>
      </w:r>
    </w:p>
    <w:p>
      <w:pPr>
        <w:pStyle w:val="Paragraphedeliste1"/>
        <w:spacing w:after="120"/>
        <w:ind w:left="426"/>
        <w:contextualSpacing w:val="0"/>
        <w:jc w:val="both"/>
        <w:rPr>
          <w:rFonts w:ascii="Calibri" w:hAnsi="Calibri" w:cs="Calibri"/>
          <w:sz w:val="22"/>
          <w:szCs w:val="22"/>
        </w:rPr>
      </w:pPr>
    </w:p>
    <w:p>
      <w:pPr>
        <w:pStyle w:val="Paragraphedeliste1"/>
        <w:numPr>
          <w:ilvl w:val="0"/>
          <w:numId w:val="12"/>
        </w:numPr>
        <w:spacing w:after="120"/>
        <w:ind w:left="426"/>
        <w:contextualSpacing w:val="0"/>
        <w:jc w:val="both"/>
        <w:rPr>
          <w:rFonts w:ascii="Calibri" w:hAnsi="Calibri" w:cs="Calibri"/>
          <w:sz w:val="22"/>
          <w:szCs w:val="22"/>
        </w:rPr>
      </w:pPr>
      <w:r>
        <w:rPr>
          <w:rFonts w:ascii="Calibri" w:hAnsi="Calibri" w:cs="Calibri"/>
          <w:sz w:val="22"/>
          <w:szCs w:val="22"/>
        </w:rPr>
        <w:t>Quelles ont été les actions de communication développées par le CTA ? De quelles manières le CTA a-t-il veillé à la publicité européenne de ses activités ?</w:t>
      </w:r>
    </w:p>
    <w:p>
      <w:pPr>
        <w:pStyle w:val="Paragraphedeliste1"/>
        <w:spacing w:after="120"/>
        <w:ind w:left="426"/>
        <w:contextualSpacing w:val="0"/>
        <w:jc w:val="both"/>
        <w:rPr>
          <w:rFonts w:ascii="Calibri" w:hAnsi="Calibri" w:cs="Calibri"/>
          <w:i/>
          <w:sz w:val="22"/>
          <w:szCs w:val="22"/>
        </w:rPr>
      </w:pPr>
      <w:r>
        <w:rPr>
          <w:rFonts w:ascii="Calibri" w:hAnsi="Calibri" w:cs="Calibri"/>
          <w:i/>
          <w:sz w:val="22"/>
          <w:szCs w:val="22"/>
        </w:rPr>
        <w:t>(Un exemplaire de chaque support promotionnel utilisé sera obligatoirement joint en annexe.)</w:t>
      </w:r>
    </w:p>
    <w:p>
      <w:pPr>
        <w:pStyle w:val="Paragraphedeliste1"/>
        <w:spacing w:after="120"/>
        <w:ind w:left="426"/>
        <w:contextualSpacing w:val="0"/>
        <w:jc w:val="both"/>
        <w:rPr>
          <w:rFonts w:ascii="Calibri" w:hAnsi="Calibri" w:cs="Calibri"/>
          <w:sz w:val="22"/>
          <w:szCs w:val="22"/>
        </w:rPr>
      </w:pPr>
    </w:p>
    <w:p>
      <w:pPr>
        <w:rPr>
          <w:rFonts w:ascii="Calibri" w:hAnsi="Calibri" w:cs="Calibri"/>
          <w:sz w:val="22"/>
          <w:szCs w:val="22"/>
          <w:lang w:eastAsia="en-US"/>
        </w:rPr>
      </w:pPr>
      <w:r>
        <w:rPr>
          <w:rFonts w:ascii="Calibri" w:hAnsi="Calibri" w:cs="Calibri"/>
          <w:sz w:val="22"/>
          <w:szCs w:val="22"/>
        </w:rPr>
        <w:br w:type="page"/>
      </w:r>
    </w:p>
    <w:p>
      <w:pPr>
        <w:pStyle w:val="Paragraphedeliste1"/>
        <w:numPr>
          <w:ilvl w:val="0"/>
          <w:numId w:val="12"/>
        </w:numPr>
        <w:spacing w:after="120"/>
        <w:ind w:left="426"/>
        <w:contextualSpacing w:val="0"/>
        <w:jc w:val="both"/>
        <w:rPr>
          <w:rFonts w:ascii="Calibri" w:hAnsi="Calibri" w:cs="Calibri"/>
          <w:sz w:val="22"/>
          <w:szCs w:val="22"/>
        </w:rPr>
      </w:pPr>
      <w:r>
        <w:rPr>
          <w:rFonts w:ascii="Calibri" w:hAnsi="Calibri" w:cs="Calibri"/>
          <w:sz w:val="22"/>
          <w:szCs w:val="22"/>
        </w:rPr>
        <w:lastRenderedPageBreak/>
        <w:t>Quelles sont les initiatives remarquables qui ont été prises en termes de promotion des métiers techniques ?</w:t>
      </w:r>
    </w:p>
    <w:p>
      <w:pPr>
        <w:pStyle w:val="Paragraphedeliste1"/>
        <w:spacing w:after="120"/>
        <w:ind w:left="426"/>
        <w:contextualSpacing w:val="0"/>
        <w:jc w:val="both"/>
        <w:rPr>
          <w:rFonts w:ascii="Calibri" w:hAnsi="Calibri" w:cs="Calibri"/>
          <w:i/>
          <w:sz w:val="22"/>
          <w:szCs w:val="22"/>
        </w:rPr>
      </w:pPr>
      <w:r>
        <w:rPr>
          <w:rFonts w:ascii="Calibri" w:hAnsi="Calibri" w:cs="Calibri"/>
          <w:i/>
          <w:sz w:val="22"/>
          <w:szCs w:val="22"/>
        </w:rPr>
        <w:t>(Une liste des activités et projets doit être jointe en annexe)</w:t>
      </w:r>
    </w:p>
    <w:p>
      <w:pPr>
        <w:pStyle w:val="Paragraphedeliste1"/>
        <w:spacing w:after="120"/>
        <w:ind w:left="426"/>
        <w:contextualSpacing w:val="0"/>
        <w:jc w:val="both"/>
        <w:rPr>
          <w:rFonts w:ascii="Calibri" w:hAnsi="Calibri" w:cs="Calibri"/>
          <w:sz w:val="22"/>
          <w:szCs w:val="22"/>
        </w:rPr>
      </w:pPr>
    </w:p>
    <w:p>
      <w:pPr>
        <w:pStyle w:val="Paragraphedeliste1"/>
        <w:numPr>
          <w:ilvl w:val="0"/>
          <w:numId w:val="12"/>
        </w:numPr>
        <w:spacing w:after="120"/>
        <w:ind w:left="426"/>
        <w:contextualSpacing w:val="0"/>
        <w:jc w:val="both"/>
        <w:rPr>
          <w:rFonts w:ascii="Calibri" w:hAnsi="Calibri" w:cs="Calibri"/>
          <w:sz w:val="22"/>
          <w:szCs w:val="22"/>
        </w:rPr>
      </w:pPr>
      <w:r>
        <w:rPr>
          <w:rFonts w:ascii="Calibri" w:hAnsi="Calibri" w:cs="Calibri"/>
          <w:sz w:val="22"/>
          <w:szCs w:val="22"/>
        </w:rPr>
        <w:t>Quels équipements ont nécessité une réparation? Ces appareils étaient-ils sous garantie? Les dommages étaient-ils le fait d’un accident? Quel a été le coût occasionné?</w:t>
      </w:r>
    </w:p>
    <w:p>
      <w:pPr>
        <w:pStyle w:val="Paragraphedeliste1"/>
        <w:spacing w:after="120"/>
        <w:ind w:left="426"/>
        <w:contextualSpacing w:val="0"/>
        <w:jc w:val="both"/>
        <w:rPr>
          <w:rFonts w:ascii="Calibri" w:hAnsi="Calibri" w:cs="Calibri"/>
          <w:sz w:val="22"/>
          <w:szCs w:val="22"/>
        </w:rPr>
      </w:pPr>
    </w:p>
    <w:p>
      <w:pPr>
        <w:pStyle w:val="Paragraphedeliste1"/>
        <w:numPr>
          <w:ilvl w:val="0"/>
          <w:numId w:val="12"/>
        </w:numPr>
        <w:spacing w:after="120"/>
        <w:ind w:left="426"/>
        <w:contextualSpacing w:val="0"/>
        <w:jc w:val="both"/>
        <w:rPr>
          <w:rFonts w:ascii="Calibri" w:hAnsi="Calibri" w:cs="Calibri"/>
          <w:sz w:val="22"/>
          <w:szCs w:val="22"/>
        </w:rPr>
      </w:pPr>
      <w:r>
        <w:rPr>
          <w:rFonts w:ascii="Calibri" w:hAnsi="Calibri" w:cs="Calibri"/>
          <w:sz w:val="22"/>
          <w:szCs w:val="22"/>
        </w:rPr>
        <w:t>Remarques, commentaires et demandes</w:t>
      </w:r>
    </w:p>
    <w:p>
      <w:pPr>
        <w:pStyle w:val="Paragraphedeliste1"/>
        <w:spacing w:after="120"/>
        <w:ind w:left="426"/>
        <w:contextualSpacing w:val="0"/>
        <w:jc w:val="both"/>
        <w:rPr>
          <w:rFonts w:ascii="Calibri" w:hAnsi="Calibri" w:cs="Calibri"/>
          <w:sz w:val="22"/>
          <w:szCs w:val="22"/>
        </w:rPr>
      </w:pPr>
    </w:p>
    <w:p>
      <w:pPr>
        <w:pStyle w:val="Paragraphedeliste1"/>
        <w:spacing w:after="120"/>
        <w:ind w:left="426"/>
        <w:contextualSpacing w:val="0"/>
        <w:jc w:val="both"/>
        <w:rPr>
          <w:rFonts w:ascii="Calibri" w:hAnsi="Calibri" w:cs="Calibri"/>
          <w:sz w:val="22"/>
          <w:szCs w:val="22"/>
        </w:rPr>
      </w:pPr>
    </w:p>
    <w:p>
      <w:pPr>
        <w:pStyle w:val="Paragraphedeliste1"/>
        <w:spacing w:after="120"/>
        <w:ind w:left="426"/>
        <w:contextualSpacing w:val="0"/>
        <w:jc w:val="both"/>
        <w:rPr>
          <w:rFonts w:ascii="Calibri" w:hAnsi="Calibri" w:cs="Calibri"/>
          <w:sz w:val="22"/>
          <w:szCs w:val="22"/>
        </w:rPr>
      </w:pPr>
    </w:p>
    <w:p>
      <w:pPr>
        <w:pStyle w:val="Paragraphedeliste1"/>
        <w:spacing w:after="120"/>
        <w:ind w:left="0"/>
        <w:contextualSpacing w:val="0"/>
        <w:jc w:val="both"/>
        <w:rPr>
          <w:rFonts w:ascii="Calibri" w:hAnsi="Calibri" w:cs="Calibri"/>
          <w:sz w:val="22"/>
          <w:szCs w:val="22"/>
        </w:rPr>
      </w:pPr>
      <w:r>
        <w:rPr>
          <w:rFonts w:ascii="Calibri" w:hAnsi="Calibri" w:cs="Calibri"/>
          <w:sz w:val="22"/>
          <w:szCs w:val="22"/>
        </w:rPr>
        <w:t>Le présent rapport a été approuvé par le comité d’accompagnement en date du …………</w:t>
      </w:r>
    </w:p>
    <w:p>
      <w:pPr>
        <w:spacing w:after="120"/>
        <w:rPr>
          <w:rFonts w:ascii="Calibri" w:hAnsi="Calibri" w:cs="Calibri"/>
          <w:sz w:val="22"/>
          <w:szCs w:val="22"/>
        </w:rPr>
      </w:pPr>
    </w:p>
    <w:p>
      <w:pPr>
        <w:spacing w:after="120"/>
        <w:rPr>
          <w:rFonts w:ascii="Calibri" w:hAnsi="Calibri" w:cs="Calibri"/>
          <w:sz w:val="22"/>
          <w:szCs w:val="22"/>
        </w:rPr>
      </w:pPr>
    </w:p>
    <w:p>
      <w:pPr>
        <w:spacing w:after="120"/>
        <w:rPr>
          <w:rFonts w:ascii="Calibri" w:hAnsi="Calibri" w:cs="Calibri"/>
          <w:sz w:val="22"/>
          <w:szCs w:val="22"/>
        </w:rPr>
      </w:pPr>
    </w:p>
    <w:p>
      <w:pPr>
        <w:spacing w:after="120"/>
        <w:rPr>
          <w:rFonts w:ascii="Calibri" w:hAnsi="Calibri" w:cs="Calibri"/>
          <w:sz w:val="22"/>
          <w:szCs w:val="22"/>
        </w:rPr>
      </w:pPr>
    </w:p>
    <w:p>
      <w:pPr>
        <w:spacing w:after="120"/>
        <w:rPr>
          <w:rFonts w:ascii="Calibri" w:hAnsi="Calibri" w:cs="Calibri"/>
          <w:sz w:val="22"/>
          <w:szCs w:val="22"/>
        </w:rPr>
      </w:pPr>
      <w:r>
        <w:rPr>
          <w:rFonts w:ascii="Calibri" w:hAnsi="Calibri" w:cs="Calibri"/>
          <w:sz w:val="22"/>
          <w:szCs w:val="22"/>
        </w:rPr>
        <w:t>Date et Signatures :</w:t>
      </w:r>
    </w:p>
    <w:p>
      <w:pPr>
        <w:spacing w:after="120"/>
        <w:rPr>
          <w:rFonts w:ascii="Calibri" w:hAnsi="Calibri" w:cs="Calibri"/>
          <w:sz w:val="22"/>
          <w:szCs w:val="22"/>
        </w:rPr>
      </w:pPr>
    </w:p>
    <w:p>
      <w:pPr>
        <w:spacing w:after="120"/>
        <w:rPr>
          <w:rFonts w:ascii="Calibri" w:hAnsi="Calibri" w:cs="Calibri"/>
          <w:sz w:val="22"/>
          <w:szCs w:val="22"/>
        </w:rPr>
      </w:pPr>
      <w:r>
        <w:rPr>
          <w:rFonts w:ascii="Calibri" w:hAnsi="Calibri" w:cs="Calibri"/>
          <w:sz w:val="22"/>
          <w:szCs w:val="22"/>
        </w:rPr>
        <w:t>Le Chef d’établissement ou le Président de l’asbl</w:t>
      </w:r>
    </w:p>
    <w:p>
      <w:pPr>
        <w:spacing w:after="120"/>
        <w:rPr>
          <w:rFonts w:ascii="Calibri" w:hAnsi="Calibri" w:cs="Calibri"/>
          <w:sz w:val="22"/>
          <w:szCs w:val="22"/>
        </w:rPr>
      </w:pPr>
    </w:p>
    <w:p>
      <w:pPr>
        <w:spacing w:after="120"/>
        <w:rPr>
          <w:rFonts w:ascii="Calibri" w:hAnsi="Calibri" w:cs="Calibri"/>
          <w:sz w:val="22"/>
          <w:szCs w:val="22"/>
        </w:rPr>
      </w:pPr>
    </w:p>
    <w:p>
      <w:pPr>
        <w:spacing w:after="120"/>
        <w:rPr>
          <w:rFonts w:ascii="Calibri" w:hAnsi="Calibri" w:cs="Calibri"/>
          <w:sz w:val="22"/>
          <w:szCs w:val="22"/>
        </w:rPr>
      </w:pPr>
    </w:p>
    <w:p>
      <w:pPr>
        <w:spacing w:after="120"/>
        <w:rPr>
          <w:rFonts w:ascii="Calibri" w:hAnsi="Calibri" w:cs="Calibri"/>
          <w:sz w:val="22"/>
          <w:szCs w:val="22"/>
        </w:rPr>
      </w:pPr>
    </w:p>
    <w:p>
      <w:pPr>
        <w:spacing w:after="120"/>
        <w:rPr>
          <w:rFonts w:ascii="Calibri" w:hAnsi="Calibri" w:cs="Calibri"/>
          <w:sz w:val="22"/>
          <w:szCs w:val="22"/>
        </w:rPr>
      </w:pPr>
    </w:p>
    <w:p>
      <w:pPr>
        <w:spacing w:after="120"/>
        <w:rPr>
          <w:rFonts w:ascii="Calibri" w:hAnsi="Calibri" w:cs="Calibri"/>
          <w:sz w:val="22"/>
          <w:szCs w:val="22"/>
        </w:rPr>
      </w:pPr>
      <w:r>
        <w:rPr>
          <w:rFonts w:ascii="Calibri" w:hAnsi="Calibri" w:cs="Calibri"/>
          <w:sz w:val="22"/>
          <w:szCs w:val="22"/>
        </w:rPr>
        <w:t>Le Coordonnateur</w:t>
      </w:r>
    </w:p>
    <w:p>
      <w:pPr>
        <w:spacing w:before="240" w:after="240"/>
        <w:jc w:val="both"/>
        <w:rPr>
          <w:rFonts w:ascii="Calibri" w:hAnsi="Calibri" w:cs="Calibri"/>
          <w:sz w:val="22"/>
          <w:szCs w:val="22"/>
        </w:rPr>
      </w:pPr>
      <w:r>
        <w:rPr>
          <w:rFonts w:ascii="Calibri" w:hAnsi="Calibri" w:cs="Calibri"/>
          <w:sz w:val="22"/>
          <w:szCs w:val="22"/>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16</w:t>
      </w:r>
    </w:p>
    <w:p>
      <w:pPr>
        <w:spacing w:before="240" w:after="240"/>
        <w:jc w:val="center"/>
        <w:rPr>
          <w:rFonts w:ascii="Calibri" w:hAnsi="Calibri" w:cs="Calibri"/>
          <w:b/>
          <w:sz w:val="36"/>
          <w:szCs w:val="36"/>
        </w:rPr>
      </w:pPr>
      <w:r>
        <w:rPr>
          <w:rFonts w:ascii="Calibri" w:hAnsi="Calibri" w:cs="Calibri"/>
          <w:b/>
          <w:sz w:val="36"/>
          <w:szCs w:val="36"/>
        </w:rPr>
        <w:t>Déclaration de créance à joindre au dossier justificatif relatif au remboursement de frais occasionnés suite à la maintenance d’un équipement CTA</w:t>
      </w:r>
    </w:p>
    <w:p>
      <w:pPr>
        <w:rPr>
          <w:rFonts w:ascii="Calibri" w:hAnsi="Calibri" w:cs="Calibri"/>
          <w:sz w:val="22"/>
          <w:szCs w:val="22"/>
        </w:rPr>
      </w:pPr>
      <w:r>
        <w:rPr>
          <w:rFonts w:ascii="Calibri" w:hAnsi="Calibri" w:cs="Calibri"/>
          <w:sz w:val="22"/>
          <w:szCs w:val="22"/>
        </w:rPr>
        <w:br w:type="page"/>
      </w:r>
    </w:p>
    <w:p>
      <w:pPr>
        <w:ind w:left="2880"/>
        <w:jc w:val="center"/>
        <w:rPr>
          <w:rFonts w:asciiTheme="minorHAnsi" w:hAnsiTheme="minorHAnsi" w:cstheme="minorHAnsi"/>
          <w:b/>
          <w:sz w:val="20"/>
          <w:szCs w:val="20"/>
        </w:rPr>
      </w:pPr>
      <w:r>
        <w:rPr>
          <w:rFonts w:asciiTheme="minorHAnsi" w:hAnsiTheme="minorHAnsi" w:cstheme="minorHAnsi"/>
          <w:noProof/>
          <w:sz w:val="20"/>
          <w:szCs w:val="20"/>
          <w:lang w:eastAsia="fr-BE"/>
        </w:rPr>
        <w:lastRenderedPageBreak/>
        <w:drawing>
          <wp:anchor distT="0" distB="0" distL="114300" distR="114300" simplePos="0" relativeHeight="251734016" behindDoc="0" locked="0" layoutInCell="1" allowOverlap="1">
            <wp:simplePos x="0" y="0"/>
            <wp:positionH relativeFrom="column">
              <wp:posOffset>635</wp:posOffset>
            </wp:positionH>
            <wp:positionV relativeFrom="paragraph">
              <wp:posOffset>-353344</wp:posOffset>
            </wp:positionV>
            <wp:extent cx="1242000" cy="1191600"/>
            <wp:effectExtent l="0" t="0" r="0" b="8890"/>
            <wp:wrapNone/>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FWB_QUADRI_VERTI.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42000" cy="1191600"/>
                    </a:xfrm>
                    <a:prstGeom prst="rect">
                      <a:avLst/>
                    </a:prstGeom>
                  </pic:spPr>
                </pic:pic>
              </a:graphicData>
            </a:graphic>
            <wp14:sizeRelH relativeFrom="margin">
              <wp14:pctWidth>0</wp14:pctWidth>
            </wp14:sizeRelH>
            <wp14:sizeRelV relativeFrom="margin">
              <wp14:pctHeight>0</wp14:pctHeight>
            </wp14:sizeRelV>
          </wp:anchor>
        </w:drawing>
      </w:r>
    </w:p>
    <w:p>
      <w:pPr>
        <w:pBdr>
          <w:top w:val="single" w:sz="4" w:space="1" w:color="auto"/>
          <w:left w:val="single" w:sz="4" w:space="4" w:color="auto"/>
          <w:bottom w:val="single" w:sz="4" w:space="1" w:color="auto"/>
          <w:right w:val="single" w:sz="4" w:space="4" w:color="auto"/>
        </w:pBdr>
        <w:ind w:left="2880"/>
        <w:jc w:val="center"/>
        <w:rPr>
          <w:rFonts w:asciiTheme="minorHAnsi" w:hAnsiTheme="minorHAnsi" w:cstheme="minorHAnsi"/>
          <w:b/>
          <w:sz w:val="20"/>
          <w:szCs w:val="20"/>
        </w:rPr>
      </w:pPr>
      <w:r>
        <w:rPr>
          <w:rFonts w:asciiTheme="minorHAnsi" w:hAnsiTheme="minorHAnsi" w:cstheme="minorHAnsi"/>
          <w:b/>
          <w:sz w:val="20"/>
          <w:szCs w:val="20"/>
        </w:rPr>
        <w:t xml:space="preserve">DECLARATION DE CREANCE POUR LE REMBOURSEMENT DE FRAIS OCCASIONNES SUITE A LA MAINTENANCE D’EQUIPEMENTS CTA </w:t>
      </w:r>
    </w:p>
    <w:p>
      <w:pPr>
        <w:ind w:left="2880"/>
        <w:rPr>
          <w:rFonts w:asciiTheme="minorHAnsi" w:hAnsiTheme="minorHAnsi" w:cstheme="minorHAnsi"/>
          <w:sz w:val="20"/>
          <w:szCs w:val="20"/>
        </w:rPr>
      </w:pPr>
    </w:p>
    <w:p>
      <w:pPr>
        <w:rPr>
          <w:rFonts w:asciiTheme="minorHAnsi" w:hAnsiTheme="minorHAnsi" w:cstheme="minorHAnsi"/>
          <w:sz w:val="20"/>
          <w:szCs w:val="20"/>
        </w:rPr>
      </w:pPr>
    </w:p>
    <w:p>
      <w:pPr>
        <w:rPr>
          <w:rFonts w:asciiTheme="minorHAnsi" w:hAnsiTheme="minorHAnsi" w:cstheme="minorHAnsi"/>
          <w:sz w:val="20"/>
          <w:szCs w:val="20"/>
        </w:rPr>
      </w:pPr>
    </w:p>
    <w:p>
      <w:pPr>
        <w:spacing w:after="240" w:line="360" w:lineRule="auto"/>
        <w:rPr>
          <w:rFonts w:asciiTheme="minorHAnsi" w:hAnsiTheme="minorHAnsi" w:cstheme="minorHAnsi"/>
          <w:sz w:val="20"/>
          <w:szCs w:val="20"/>
        </w:rPr>
      </w:pPr>
      <w:r>
        <w:rPr>
          <w:rFonts w:asciiTheme="minorHAnsi" w:hAnsiTheme="minorHAnsi" w:cstheme="minorHAnsi"/>
          <w:sz w:val="20"/>
          <w:szCs w:val="20"/>
        </w:rPr>
        <w:t>Nom, prénom et fonction du déclarant :</w:t>
      </w:r>
    </w:p>
    <w:p>
      <w:pPr>
        <w:spacing w:after="240" w:line="360" w:lineRule="auto"/>
        <w:rPr>
          <w:rFonts w:asciiTheme="minorHAnsi" w:hAnsiTheme="minorHAnsi" w:cstheme="minorHAnsi"/>
          <w:sz w:val="20"/>
          <w:szCs w:val="20"/>
        </w:rPr>
      </w:pPr>
      <w:r>
        <w:rPr>
          <w:rFonts w:asciiTheme="minorHAnsi" w:hAnsiTheme="minorHAnsi" w:cstheme="minorHAnsi"/>
          <w:sz w:val="20"/>
          <w:szCs w:val="20"/>
        </w:rPr>
        <w:t>Nom de l’établissement :</w:t>
      </w:r>
    </w:p>
    <w:p>
      <w:pPr>
        <w:spacing w:after="240" w:line="360" w:lineRule="auto"/>
        <w:rPr>
          <w:rFonts w:asciiTheme="minorHAnsi" w:hAnsiTheme="minorHAnsi" w:cstheme="minorHAnsi"/>
          <w:sz w:val="20"/>
          <w:szCs w:val="20"/>
        </w:rPr>
      </w:pPr>
      <w:r>
        <w:rPr>
          <w:rFonts w:asciiTheme="minorHAnsi" w:hAnsiTheme="minorHAnsi" w:cstheme="minorHAnsi"/>
          <w:sz w:val="20"/>
          <w:szCs w:val="20"/>
        </w:rPr>
        <w:t>Nom du CTA concerné :</w:t>
      </w:r>
    </w:p>
    <w:p>
      <w:pPr>
        <w:spacing w:after="240" w:line="360" w:lineRule="auto"/>
        <w:rPr>
          <w:rFonts w:asciiTheme="minorHAnsi" w:hAnsiTheme="minorHAnsi" w:cstheme="minorHAnsi"/>
          <w:sz w:val="20"/>
          <w:szCs w:val="20"/>
        </w:rPr>
      </w:pPr>
      <w:r>
        <w:rPr>
          <w:rFonts w:asciiTheme="minorHAnsi" w:hAnsiTheme="minorHAnsi" w:cstheme="minorHAnsi"/>
          <w:sz w:val="20"/>
          <w:szCs w:val="20"/>
        </w:rPr>
        <w:t>Adresse de l’établissement :</w:t>
      </w:r>
    </w:p>
    <w:p>
      <w:pPr>
        <w:spacing w:after="240" w:line="360" w:lineRule="auto"/>
        <w:rPr>
          <w:rFonts w:asciiTheme="minorHAnsi" w:hAnsiTheme="minorHAnsi" w:cstheme="minorHAnsi"/>
          <w:sz w:val="20"/>
          <w:szCs w:val="20"/>
        </w:rPr>
      </w:pPr>
      <w:r>
        <w:rPr>
          <w:rFonts w:asciiTheme="minorHAnsi" w:hAnsiTheme="minorHAnsi" w:cstheme="minorHAnsi"/>
          <w:sz w:val="20"/>
          <w:szCs w:val="20"/>
        </w:rPr>
        <w:t>Coordonnées bancaires du déclarant :</w:t>
      </w:r>
    </w:p>
    <w:p>
      <w:pPr>
        <w:spacing w:after="240" w:line="360" w:lineRule="auto"/>
        <w:rPr>
          <w:rFonts w:asciiTheme="minorHAnsi" w:hAnsiTheme="minorHAnsi" w:cstheme="minorHAnsi"/>
          <w:sz w:val="20"/>
          <w:szCs w:val="20"/>
        </w:rPr>
      </w:pPr>
      <w:r>
        <w:rPr>
          <w:rFonts w:asciiTheme="minorHAnsi" w:hAnsiTheme="minorHAnsi" w:cstheme="minorHAnsi"/>
          <w:sz w:val="20"/>
          <w:szCs w:val="20"/>
        </w:rPr>
        <w:tab/>
        <w:t>Code IBAN :</w:t>
      </w:r>
    </w:p>
    <w:p>
      <w:pPr>
        <w:spacing w:after="240" w:line="360" w:lineRule="auto"/>
        <w:rPr>
          <w:rFonts w:asciiTheme="minorHAnsi" w:hAnsiTheme="minorHAnsi" w:cstheme="minorHAnsi"/>
          <w:sz w:val="20"/>
          <w:szCs w:val="20"/>
        </w:rPr>
      </w:pPr>
      <w:r>
        <w:rPr>
          <w:rFonts w:asciiTheme="minorHAnsi" w:hAnsiTheme="minorHAnsi" w:cstheme="minorHAnsi"/>
          <w:sz w:val="20"/>
          <w:szCs w:val="20"/>
        </w:rPr>
        <w:tab/>
        <w:t>Code BIC :</w:t>
      </w:r>
    </w:p>
    <w:p>
      <w:pPr>
        <w:spacing w:after="240" w:line="360" w:lineRule="auto"/>
        <w:rPr>
          <w:rFonts w:asciiTheme="minorHAnsi" w:hAnsiTheme="minorHAnsi" w:cstheme="minorHAnsi"/>
          <w:sz w:val="20"/>
          <w:szCs w:val="20"/>
        </w:rPr>
      </w:pPr>
      <w:r>
        <w:rPr>
          <w:rFonts w:asciiTheme="minorHAnsi" w:hAnsiTheme="minorHAnsi" w:cstheme="minorHAnsi"/>
          <w:sz w:val="20"/>
          <w:szCs w:val="20"/>
        </w:rPr>
        <w:tab/>
        <w:t>Nom titulaire compte :</w:t>
      </w:r>
    </w:p>
    <w:p>
      <w:pPr>
        <w:spacing w:after="240" w:line="360" w:lineRule="auto"/>
        <w:rPr>
          <w:rFonts w:asciiTheme="minorHAnsi" w:hAnsiTheme="minorHAnsi" w:cstheme="minorHAnsi"/>
          <w:sz w:val="20"/>
          <w:szCs w:val="20"/>
        </w:rPr>
      </w:pPr>
      <w:r>
        <w:rPr>
          <w:rFonts w:asciiTheme="minorHAnsi" w:hAnsiTheme="minorHAnsi" w:cstheme="minorHAnsi"/>
          <w:sz w:val="20"/>
          <w:szCs w:val="20"/>
        </w:rPr>
        <w:tab/>
        <w:t>Adresse titulaire compte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1787"/>
        <w:gridCol w:w="2434"/>
        <w:gridCol w:w="2396"/>
      </w:tblGrid>
      <w:tr>
        <w:tc>
          <w:tcPr>
            <w:tcW w:w="1349" w:type="pct"/>
            <w:vAlign w:val="center"/>
          </w:tcPr>
          <w:p>
            <w:pPr>
              <w:jc w:val="center"/>
              <w:rPr>
                <w:rFonts w:asciiTheme="minorHAnsi" w:hAnsiTheme="minorHAnsi" w:cstheme="minorHAnsi"/>
                <w:b/>
                <w:sz w:val="20"/>
                <w:szCs w:val="20"/>
              </w:rPr>
            </w:pPr>
            <w:r>
              <w:rPr>
                <w:rFonts w:asciiTheme="minorHAnsi" w:hAnsiTheme="minorHAnsi" w:cstheme="minorHAnsi"/>
                <w:b/>
                <w:sz w:val="20"/>
                <w:szCs w:val="20"/>
              </w:rPr>
              <w:t>Equipement concerné</w:t>
            </w:r>
          </w:p>
        </w:tc>
        <w:tc>
          <w:tcPr>
            <w:tcW w:w="986" w:type="pct"/>
            <w:vAlign w:val="center"/>
          </w:tcPr>
          <w:p>
            <w:pPr>
              <w:jc w:val="center"/>
              <w:rPr>
                <w:rFonts w:asciiTheme="minorHAnsi" w:hAnsiTheme="minorHAnsi" w:cstheme="minorHAnsi"/>
                <w:b/>
                <w:sz w:val="20"/>
                <w:szCs w:val="20"/>
              </w:rPr>
            </w:pPr>
            <w:r>
              <w:rPr>
                <w:rFonts w:asciiTheme="minorHAnsi" w:hAnsiTheme="minorHAnsi" w:cstheme="minorHAnsi"/>
                <w:b/>
                <w:sz w:val="20"/>
                <w:szCs w:val="20"/>
              </w:rPr>
              <w:t>Dénomination du fournisseur</w:t>
            </w:r>
          </w:p>
        </w:tc>
        <w:tc>
          <w:tcPr>
            <w:tcW w:w="1343" w:type="pct"/>
            <w:vAlign w:val="center"/>
          </w:tcPr>
          <w:p>
            <w:pPr>
              <w:jc w:val="center"/>
              <w:rPr>
                <w:rFonts w:asciiTheme="minorHAnsi" w:hAnsiTheme="minorHAnsi" w:cstheme="minorHAnsi"/>
                <w:b/>
                <w:sz w:val="20"/>
                <w:szCs w:val="20"/>
              </w:rPr>
            </w:pPr>
            <w:r>
              <w:rPr>
                <w:rFonts w:asciiTheme="minorHAnsi" w:hAnsiTheme="minorHAnsi" w:cstheme="minorHAnsi"/>
                <w:b/>
                <w:sz w:val="20"/>
                <w:szCs w:val="20"/>
              </w:rPr>
              <w:t>N° de facture</w:t>
            </w:r>
          </w:p>
        </w:tc>
        <w:tc>
          <w:tcPr>
            <w:tcW w:w="1322" w:type="pct"/>
            <w:vAlign w:val="center"/>
          </w:tcPr>
          <w:p>
            <w:pPr>
              <w:jc w:val="center"/>
              <w:rPr>
                <w:rFonts w:asciiTheme="minorHAnsi" w:hAnsiTheme="minorHAnsi" w:cstheme="minorHAnsi"/>
                <w:b/>
                <w:sz w:val="20"/>
                <w:szCs w:val="20"/>
              </w:rPr>
            </w:pPr>
            <w:r>
              <w:rPr>
                <w:rFonts w:asciiTheme="minorHAnsi" w:hAnsiTheme="minorHAnsi" w:cstheme="minorHAnsi"/>
                <w:b/>
                <w:sz w:val="20"/>
                <w:szCs w:val="20"/>
              </w:rPr>
              <w:t>Montant TVAC</w:t>
            </w:r>
          </w:p>
        </w:tc>
      </w:tr>
      <w:tr>
        <w:tc>
          <w:tcPr>
            <w:tcW w:w="1349" w:type="pct"/>
          </w:tcPr>
          <w:p>
            <w:pPr>
              <w:spacing w:before="120" w:after="120"/>
              <w:rPr>
                <w:rFonts w:asciiTheme="minorHAnsi" w:hAnsiTheme="minorHAnsi" w:cstheme="minorHAnsi"/>
                <w:sz w:val="20"/>
                <w:szCs w:val="20"/>
              </w:rPr>
            </w:pPr>
          </w:p>
        </w:tc>
        <w:tc>
          <w:tcPr>
            <w:tcW w:w="986" w:type="pct"/>
          </w:tcPr>
          <w:p>
            <w:pPr>
              <w:spacing w:before="120" w:after="120"/>
              <w:rPr>
                <w:rFonts w:asciiTheme="minorHAnsi" w:hAnsiTheme="minorHAnsi" w:cstheme="minorHAnsi"/>
                <w:sz w:val="20"/>
                <w:szCs w:val="20"/>
              </w:rPr>
            </w:pPr>
          </w:p>
        </w:tc>
        <w:tc>
          <w:tcPr>
            <w:tcW w:w="1343" w:type="pct"/>
          </w:tcPr>
          <w:p>
            <w:pPr>
              <w:spacing w:before="120" w:after="120"/>
              <w:rPr>
                <w:rFonts w:asciiTheme="minorHAnsi" w:hAnsiTheme="minorHAnsi" w:cstheme="minorHAnsi"/>
                <w:sz w:val="20"/>
                <w:szCs w:val="20"/>
              </w:rPr>
            </w:pPr>
          </w:p>
        </w:tc>
        <w:tc>
          <w:tcPr>
            <w:tcW w:w="1322" w:type="pct"/>
          </w:tcPr>
          <w:p>
            <w:pPr>
              <w:spacing w:before="120" w:after="120"/>
              <w:rPr>
                <w:rFonts w:asciiTheme="minorHAnsi" w:hAnsiTheme="minorHAnsi" w:cstheme="minorHAnsi"/>
                <w:sz w:val="20"/>
                <w:szCs w:val="20"/>
              </w:rPr>
            </w:pPr>
          </w:p>
        </w:tc>
      </w:tr>
      <w:tr>
        <w:tc>
          <w:tcPr>
            <w:tcW w:w="1349" w:type="pct"/>
          </w:tcPr>
          <w:p>
            <w:pPr>
              <w:spacing w:before="120" w:after="120"/>
              <w:rPr>
                <w:rFonts w:asciiTheme="minorHAnsi" w:hAnsiTheme="minorHAnsi" w:cstheme="minorHAnsi"/>
                <w:sz w:val="20"/>
                <w:szCs w:val="20"/>
              </w:rPr>
            </w:pPr>
          </w:p>
        </w:tc>
        <w:tc>
          <w:tcPr>
            <w:tcW w:w="986" w:type="pct"/>
          </w:tcPr>
          <w:p>
            <w:pPr>
              <w:spacing w:before="120" w:after="120"/>
              <w:rPr>
                <w:rFonts w:asciiTheme="minorHAnsi" w:hAnsiTheme="minorHAnsi" w:cstheme="minorHAnsi"/>
                <w:sz w:val="20"/>
                <w:szCs w:val="20"/>
              </w:rPr>
            </w:pPr>
          </w:p>
        </w:tc>
        <w:tc>
          <w:tcPr>
            <w:tcW w:w="1343" w:type="pct"/>
          </w:tcPr>
          <w:p>
            <w:pPr>
              <w:spacing w:before="120" w:after="120"/>
              <w:rPr>
                <w:rFonts w:asciiTheme="minorHAnsi" w:hAnsiTheme="minorHAnsi" w:cstheme="minorHAnsi"/>
                <w:sz w:val="20"/>
                <w:szCs w:val="20"/>
              </w:rPr>
            </w:pPr>
          </w:p>
        </w:tc>
        <w:tc>
          <w:tcPr>
            <w:tcW w:w="1322" w:type="pct"/>
          </w:tcPr>
          <w:p>
            <w:pPr>
              <w:spacing w:before="120" w:after="120"/>
              <w:rPr>
                <w:rFonts w:asciiTheme="minorHAnsi" w:hAnsiTheme="minorHAnsi" w:cstheme="minorHAnsi"/>
                <w:sz w:val="20"/>
                <w:szCs w:val="20"/>
              </w:rPr>
            </w:pPr>
          </w:p>
        </w:tc>
      </w:tr>
      <w:tr>
        <w:tc>
          <w:tcPr>
            <w:tcW w:w="1349" w:type="pct"/>
          </w:tcPr>
          <w:p>
            <w:pPr>
              <w:spacing w:before="120" w:after="120"/>
              <w:rPr>
                <w:rFonts w:asciiTheme="minorHAnsi" w:hAnsiTheme="minorHAnsi" w:cstheme="minorHAnsi"/>
                <w:sz w:val="20"/>
                <w:szCs w:val="20"/>
              </w:rPr>
            </w:pPr>
          </w:p>
        </w:tc>
        <w:tc>
          <w:tcPr>
            <w:tcW w:w="986" w:type="pct"/>
          </w:tcPr>
          <w:p>
            <w:pPr>
              <w:spacing w:before="120" w:after="120"/>
              <w:rPr>
                <w:rFonts w:asciiTheme="minorHAnsi" w:hAnsiTheme="minorHAnsi" w:cstheme="minorHAnsi"/>
                <w:sz w:val="20"/>
                <w:szCs w:val="20"/>
              </w:rPr>
            </w:pPr>
          </w:p>
        </w:tc>
        <w:tc>
          <w:tcPr>
            <w:tcW w:w="1343" w:type="pct"/>
          </w:tcPr>
          <w:p>
            <w:pPr>
              <w:spacing w:before="120" w:after="120"/>
              <w:rPr>
                <w:rFonts w:asciiTheme="minorHAnsi" w:hAnsiTheme="minorHAnsi" w:cstheme="minorHAnsi"/>
                <w:sz w:val="20"/>
                <w:szCs w:val="20"/>
              </w:rPr>
            </w:pPr>
          </w:p>
        </w:tc>
        <w:tc>
          <w:tcPr>
            <w:tcW w:w="1322" w:type="pct"/>
          </w:tcPr>
          <w:p>
            <w:pPr>
              <w:spacing w:before="120" w:after="120"/>
              <w:rPr>
                <w:rFonts w:asciiTheme="minorHAnsi" w:hAnsiTheme="minorHAnsi" w:cstheme="minorHAnsi"/>
                <w:sz w:val="20"/>
                <w:szCs w:val="20"/>
              </w:rPr>
            </w:pPr>
          </w:p>
        </w:tc>
      </w:tr>
      <w:tr>
        <w:tc>
          <w:tcPr>
            <w:tcW w:w="1349" w:type="pct"/>
          </w:tcPr>
          <w:p>
            <w:pPr>
              <w:spacing w:before="120" w:after="120"/>
              <w:rPr>
                <w:rFonts w:asciiTheme="minorHAnsi" w:hAnsiTheme="minorHAnsi" w:cstheme="minorHAnsi"/>
                <w:sz w:val="20"/>
                <w:szCs w:val="20"/>
              </w:rPr>
            </w:pPr>
          </w:p>
        </w:tc>
        <w:tc>
          <w:tcPr>
            <w:tcW w:w="986" w:type="pct"/>
          </w:tcPr>
          <w:p>
            <w:pPr>
              <w:spacing w:before="120" w:after="120"/>
              <w:rPr>
                <w:rFonts w:asciiTheme="minorHAnsi" w:hAnsiTheme="minorHAnsi" w:cstheme="minorHAnsi"/>
                <w:sz w:val="20"/>
                <w:szCs w:val="20"/>
              </w:rPr>
            </w:pPr>
          </w:p>
        </w:tc>
        <w:tc>
          <w:tcPr>
            <w:tcW w:w="1343" w:type="pct"/>
          </w:tcPr>
          <w:p>
            <w:pPr>
              <w:spacing w:before="120" w:after="120"/>
              <w:rPr>
                <w:rFonts w:asciiTheme="minorHAnsi" w:hAnsiTheme="minorHAnsi" w:cstheme="minorHAnsi"/>
                <w:sz w:val="20"/>
                <w:szCs w:val="20"/>
              </w:rPr>
            </w:pPr>
          </w:p>
        </w:tc>
        <w:tc>
          <w:tcPr>
            <w:tcW w:w="1322" w:type="pct"/>
          </w:tcPr>
          <w:p>
            <w:pPr>
              <w:spacing w:before="120" w:after="120"/>
              <w:rPr>
                <w:rFonts w:asciiTheme="minorHAnsi" w:hAnsiTheme="minorHAnsi" w:cstheme="minorHAnsi"/>
                <w:sz w:val="20"/>
                <w:szCs w:val="20"/>
              </w:rPr>
            </w:pPr>
          </w:p>
        </w:tc>
      </w:tr>
      <w:tr>
        <w:tc>
          <w:tcPr>
            <w:tcW w:w="1349" w:type="pct"/>
          </w:tcPr>
          <w:p>
            <w:pPr>
              <w:spacing w:before="120" w:after="120"/>
              <w:rPr>
                <w:rFonts w:asciiTheme="minorHAnsi" w:hAnsiTheme="minorHAnsi" w:cstheme="minorHAnsi"/>
                <w:sz w:val="20"/>
                <w:szCs w:val="20"/>
              </w:rPr>
            </w:pPr>
          </w:p>
        </w:tc>
        <w:tc>
          <w:tcPr>
            <w:tcW w:w="986" w:type="pct"/>
          </w:tcPr>
          <w:p>
            <w:pPr>
              <w:spacing w:before="120" w:after="120"/>
              <w:rPr>
                <w:rFonts w:asciiTheme="minorHAnsi" w:hAnsiTheme="minorHAnsi" w:cstheme="minorHAnsi"/>
                <w:sz w:val="20"/>
                <w:szCs w:val="20"/>
              </w:rPr>
            </w:pPr>
          </w:p>
        </w:tc>
        <w:tc>
          <w:tcPr>
            <w:tcW w:w="1343" w:type="pct"/>
          </w:tcPr>
          <w:p>
            <w:pPr>
              <w:spacing w:before="120" w:after="120"/>
              <w:rPr>
                <w:rFonts w:asciiTheme="minorHAnsi" w:hAnsiTheme="minorHAnsi" w:cstheme="minorHAnsi"/>
                <w:sz w:val="20"/>
                <w:szCs w:val="20"/>
              </w:rPr>
            </w:pPr>
          </w:p>
        </w:tc>
        <w:tc>
          <w:tcPr>
            <w:tcW w:w="1322" w:type="pct"/>
          </w:tcPr>
          <w:p>
            <w:pPr>
              <w:spacing w:before="120" w:after="120"/>
              <w:rPr>
                <w:rFonts w:asciiTheme="minorHAnsi" w:hAnsiTheme="minorHAnsi" w:cstheme="minorHAnsi"/>
                <w:sz w:val="20"/>
                <w:szCs w:val="20"/>
              </w:rPr>
            </w:pPr>
          </w:p>
        </w:tc>
      </w:tr>
      <w:tr>
        <w:tc>
          <w:tcPr>
            <w:tcW w:w="3678" w:type="pct"/>
            <w:gridSpan w:val="3"/>
            <w:vAlign w:val="center"/>
          </w:tcPr>
          <w:p>
            <w:pPr>
              <w:spacing w:before="120" w:after="120"/>
              <w:jc w:val="center"/>
              <w:rPr>
                <w:rFonts w:asciiTheme="minorHAnsi" w:hAnsiTheme="minorHAnsi" w:cstheme="minorHAnsi"/>
                <w:b/>
                <w:sz w:val="20"/>
                <w:szCs w:val="20"/>
              </w:rPr>
            </w:pPr>
            <w:r>
              <w:rPr>
                <w:rFonts w:asciiTheme="minorHAnsi" w:hAnsiTheme="minorHAnsi" w:cstheme="minorHAnsi"/>
                <w:b/>
                <w:sz w:val="20"/>
                <w:szCs w:val="20"/>
              </w:rPr>
              <w:t>TOTAL :</w:t>
            </w:r>
          </w:p>
        </w:tc>
        <w:tc>
          <w:tcPr>
            <w:tcW w:w="1322" w:type="pct"/>
          </w:tcPr>
          <w:p>
            <w:pPr>
              <w:spacing w:before="120" w:after="120"/>
              <w:rPr>
                <w:rFonts w:asciiTheme="minorHAnsi" w:hAnsiTheme="minorHAnsi" w:cstheme="minorHAnsi"/>
                <w:b/>
                <w:sz w:val="20"/>
                <w:szCs w:val="20"/>
              </w:rPr>
            </w:pPr>
          </w:p>
        </w:tc>
      </w:tr>
    </w:tbl>
    <w:p>
      <w:pPr>
        <w:spacing w:before="360" w:line="480" w:lineRule="auto"/>
        <w:rPr>
          <w:rFonts w:asciiTheme="minorHAnsi" w:hAnsiTheme="minorHAnsi" w:cstheme="minorHAnsi"/>
          <w:sz w:val="20"/>
          <w:szCs w:val="20"/>
        </w:rPr>
      </w:pPr>
      <w:r>
        <w:rPr>
          <w:rFonts w:asciiTheme="minorHAnsi" w:hAnsiTheme="minorHAnsi" w:cstheme="minorHAnsi"/>
          <w:sz w:val="20"/>
          <w:szCs w:val="20"/>
        </w:rPr>
        <w:t xml:space="preserve">Le montant total des frais à rembourser TVAC s’élève à (écrire en toutes lettres) :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Certifié sincère et véritable en date du :</w:t>
      </w:r>
    </w:p>
    <w:p>
      <w:pPr>
        <w:spacing w:before="120" w:line="360" w:lineRule="auto"/>
        <w:rPr>
          <w:rFonts w:asciiTheme="minorHAnsi" w:hAnsiTheme="minorHAnsi" w:cstheme="minorHAnsi"/>
          <w:sz w:val="20"/>
          <w:szCs w:val="20"/>
        </w:rPr>
      </w:pPr>
      <w:r>
        <w:rPr>
          <w:rFonts w:asciiTheme="minorHAnsi" w:hAnsiTheme="minorHAnsi" w:cstheme="minorHAnsi"/>
          <w:sz w:val="20"/>
          <w:szCs w:val="20"/>
        </w:rPr>
        <w:t>Signature et cachet du déclarant :</w:t>
      </w:r>
    </w:p>
    <w:p>
      <w:pPr>
        <w:rPr>
          <w:rFonts w:asciiTheme="minorHAnsi" w:hAnsiTheme="minorHAnsi" w:cstheme="minorHAnsi"/>
          <w:b/>
          <w:sz w:val="20"/>
          <w:szCs w:val="20"/>
          <w:u w:val="single"/>
        </w:rPr>
      </w:pPr>
    </w:p>
    <w:p>
      <w:pPr>
        <w:rPr>
          <w:rFonts w:asciiTheme="minorHAnsi" w:hAnsiTheme="minorHAnsi" w:cstheme="minorHAnsi"/>
          <w:b/>
          <w:sz w:val="20"/>
          <w:szCs w:val="20"/>
          <w:u w:val="single"/>
        </w:rPr>
      </w:pPr>
    </w:p>
    <w:p>
      <w:pPr>
        <w:rPr>
          <w:rFonts w:asciiTheme="minorHAnsi" w:hAnsiTheme="minorHAnsi" w:cstheme="minorHAnsi"/>
          <w:b/>
          <w:sz w:val="20"/>
          <w:szCs w:val="20"/>
          <w:u w:val="single"/>
        </w:rPr>
      </w:pPr>
    </w:p>
    <w:p>
      <w:pPr>
        <w:rPr>
          <w:rFonts w:ascii="Calibri" w:hAnsi="Calibri" w:cs="Calibri"/>
          <w:sz w:val="22"/>
          <w:szCs w:val="22"/>
        </w:rPr>
      </w:pPr>
      <w:r>
        <w:rPr>
          <w:rFonts w:ascii="Calibri" w:hAnsi="Calibri" w:cs="Calibri"/>
          <w:sz w:val="22"/>
          <w:szCs w:val="22"/>
        </w:rPr>
        <w:br w:type="page"/>
      </w: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17</w:t>
      </w:r>
    </w:p>
    <w:p>
      <w:pPr>
        <w:spacing w:before="240" w:after="240"/>
        <w:jc w:val="center"/>
        <w:rPr>
          <w:rFonts w:ascii="Calibri" w:hAnsi="Calibri" w:cs="Calibri"/>
          <w:b/>
          <w:sz w:val="36"/>
          <w:szCs w:val="36"/>
        </w:rPr>
      </w:pPr>
      <w:r>
        <w:rPr>
          <w:rFonts w:ascii="Calibri" w:hAnsi="Calibri" w:cs="Calibri"/>
          <w:b/>
          <w:sz w:val="36"/>
          <w:szCs w:val="36"/>
        </w:rPr>
        <w:t>Vade-mecum d’utilisation du réseau de partage sécurisé CTA</w:t>
      </w:r>
    </w:p>
    <w:p>
      <w:pPr>
        <w:rPr>
          <w:rFonts w:asciiTheme="minorHAnsi" w:hAnsiTheme="minorHAnsi" w:cstheme="minorHAnsi"/>
          <w:b/>
          <w:color w:val="000000"/>
          <w:kern w:val="32"/>
          <w:sz w:val="28"/>
          <w:szCs w:val="28"/>
          <w:u w:val="single"/>
          <w:lang w:val="fr-FR"/>
        </w:rPr>
      </w:pPr>
      <w:bookmarkStart w:id="16" w:name="_Toc440442403"/>
      <w:bookmarkStart w:id="17" w:name="_Toc291841805"/>
      <w:bookmarkStart w:id="18" w:name="_Toc291841938"/>
      <w:bookmarkStart w:id="19" w:name="_Toc291842558"/>
      <w:bookmarkStart w:id="20" w:name="_Toc333502559"/>
      <w:r>
        <w:rPr>
          <w:rFonts w:asciiTheme="minorHAnsi" w:hAnsiTheme="minorHAnsi" w:cstheme="minorHAnsi"/>
          <w:bCs/>
          <w:sz w:val="28"/>
          <w:szCs w:val="28"/>
          <w:u w:val="single"/>
        </w:rPr>
        <w:br w:type="page"/>
      </w:r>
    </w:p>
    <w:p>
      <w:pPr>
        <w:pStyle w:val="Titre1"/>
        <w:keepNext w:val="0"/>
        <w:numPr>
          <w:ilvl w:val="0"/>
          <w:numId w:val="91"/>
        </w:numPr>
        <w:spacing w:before="0" w:after="240"/>
        <w:ind w:left="425" w:hanging="425"/>
        <w:jc w:val="both"/>
        <w:rPr>
          <w:rFonts w:asciiTheme="minorHAnsi" w:hAnsiTheme="minorHAnsi" w:cstheme="minorHAnsi"/>
          <w:bCs w:val="0"/>
          <w:sz w:val="28"/>
          <w:szCs w:val="28"/>
          <w:u w:val="single"/>
        </w:rPr>
      </w:pPr>
      <w:r>
        <w:rPr>
          <w:rFonts w:asciiTheme="minorHAnsi" w:hAnsiTheme="minorHAnsi" w:cstheme="minorHAnsi"/>
          <w:bCs w:val="0"/>
          <w:sz w:val="28"/>
          <w:szCs w:val="28"/>
          <w:u w:val="single"/>
        </w:rPr>
        <w:lastRenderedPageBreak/>
        <w:t>GENERALITES</w:t>
      </w:r>
      <w:bookmarkEnd w:id="16"/>
    </w:p>
    <w:p>
      <w:pPr>
        <w:pStyle w:val="Paragraphevademecumformif"/>
        <w:spacing w:before="0" w:after="120" w:line="276" w:lineRule="auto"/>
        <w:rPr>
          <w:rFonts w:asciiTheme="minorHAnsi" w:hAnsiTheme="minorHAnsi" w:cstheme="minorHAnsi"/>
          <w:szCs w:val="20"/>
          <w:lang w:val="fr-BE"/>
        </w:rPr>
      </w:pPr>
      <w:r>
        <w:rPr>
          <w:rFonts w:asciiTheme="minorHAnsi" w:hAnsiTheme="minorHAnsi" w:cstheme="minorHAnsi"/>
          <w:szCs w:val="20"/>
          <w:lang w:val="fr-BE"/>
        </w:rPr>
        <w:t>Ce vade-mecum a été conçu pour vous fournir les informations principales vous permettant d’utiliser sans grande difficulté le partage réseau mis à votre disposition.</w:t>
      </w:r>
    </w:p>
    <w:p>
      <w:pPr>
        <w:pStyle w:val="Paragraphevademecumformif"/>
        <w:spacing w:before="0" w:after="120" w:line="276" w:lineRule="auto"/>
        <w:rPr>
          <w:rFonts w:asciiTheme="minorHAnsi" w:hAnsiTheme="minorHAnsi" w:cstheme="minorHAnsi"/>
          <w:iCs/>
          <w:noProof/>
          <w:szCs w:val="20"/>
        </w:rPr>
      </w:pPr>
      <w:r>
        <w:rPr>
          <w:rFonts w:asciiTheme="minorHAnsi" w:hAnsiTheme="minorHAnsi" w:cstheme="minorHAnsi"/>
          <w:szCs w:val="20"/>
          <w:lang w:val="fr-BE"/>
        </w:rPr>
        <w:t>Cet outil poursuit comme objectif simple la m</w:t>
      </w:r>
      <w:r>
        <w:rPr>
          <w:rFonts w:asciiTheme="minorHAnsi" w:hAnsiTheme="minorHAnsi" w:cstheme="minorHAnsi"/>
          <w:iCs/>
          <w:noProof/>
          <w:szCs w:val="20"/>
        </w:rPr>
        <w:t>ise à disposition d’un espace de stockage virtuel pour les gestionnaires administratifs des Centres de Technologies Avancées leur permettant de pouvoir archiver leurs documents au format informatique de manière sécurisée.</w:t>
      </w:r>
    </w:p>
    <w:p>
      <w:pPr>
        <w:pStyle w:val="Paragraphevademecumformif"/>
        <w:spacing w:before="0" w:after="120" w:line="276" w:lineRule="auto"/>
        <w:rPr>
          <w:rFonts w:asciiTheme="minorHAnsi" w:hAnsiTheme="minorHAnsi" w:cstheme="minorHAnsi"/>
          <w:iCs/>
          <w:noProof/>
          <w:szCs w:val="20"/>
        </w:rPr>
      </w:pPr>
      <w:r>
        <w:rPr>
          <w:rFonts w:asciiTheme="minorHAnsi" w:hAnsiTheme="minorHAnsi" w:cstheme="minorHAnsi"/>
          <w:iCs/>
          <w:noProof/>
          <w:szCs w:val="20"/>
        </w:rPr>
        <w:t>Cet espace permettra également à l’administration du Ministère de la Fédération Wallonie-Bruxelles de mettre une série de documents à votre disposition.</w:t>
      </w:r>
    </w:p>
    <w:p>
      <w:pPr>
        <w:pStyle w:val="Paragraphevademecumformif"/>
        <w:spacing w:before="0" w:after="120" w:line="276" w:lineRule="auto"/>
        <w:rPr>
          <w:rFonts w:asciiTheme="minorHAnsi" w:hAnsiTheme="minorHAnsi" w:cstheme="minorHAnsi"/>
          <w:szCs w:val="20"/>
        </w:rPr>
      </w:pPr>
      <w:r>
        <w:rPr>
          <w:rFonts w:asciiTheme="minorHAnsi" w:hAnsiTheme="minorHAnsi" w:cstheme="minorHAnsi"/>
          <w:szCs w:val="20"/>
        </w:rPr>
        <w:t>Pour toute question ou problème, n’hésitez surtout pas à prendre contact avec le service CTA de la Direction "Relations Ecoles-Monde du Travail".</w:t>
      </w:r>
    </w:p>
    <w:p>
      <w:pPr>
        <w:pStyle w:val="Paragraphevademecumformif"/>
        <w:spacing w:before="0" w:after="120" w:line="276" w:lineRule="auto"/>
        <w:rPr>
          <w:rFonts w:asciiTheme="minorHAnsi" w:hAnsiTheme="minorHAnsi" w:cstheme="minorHAnsi"/>
          <w:szCs w:val="20"/>
        </w:rPr>
      </w:pPr>
      <w:r>
        <w:rPr>
          <w:rFonts w:asciiTheme="minorHAnsi" w:hAnsiTheme="minorHAnsi" w:cstheme="minorHAnsi"/>
          <w:szCs w:val="20"/>
        </w:rPr>
        <w:t>Bon travail !</w:t>
      </w:r>
    </w:p>
    <w:p>
      <w:pPr>
        <w:pStyle w:val="Paragraphevademecumformif"/>
        <w:pBdr>
          <w:top w:val="single" w:sz="4" w:space="1" w:color="auto"/>
          <w:left w:val="single" w:sz="4" w:space="4" w:color="auto"/>
          <w:bottom w:val="single" w:sz="4" w:space="1" w:color="auto"/>
          <w:right w:val="single" w:sz="4" w:space="4" w:color="auto"/>
        </w:pBdr>
        <w:spacing w:before="0" w:after="0" w:line="276" w:lineRule="auto"/>
        <w:jc w:val="center"/>
        <w:rPr>
          <w:rFonts w:asciiTheme="minorHAnsi" w:hAnsiTheme="minorHAnsi" w:cstheme="minorHAnsi"/>
          <w:b/>
          <w:szCs w:val="20"/>
        </w:rPr>
      </w:pPr>
      <w:r>
        <w:rPr>
          <w:rFonts w:asciiTheme="minorHAnsi" w:hAnsiTheme="minorHAnsi" w:cstheme="minorHAnsi"/>
          <w:b/>
          <w:szCs w:val="20"/>
        </w:rPr>
        <w:t>Fédération Wallonie-Bruxelles</w:t>
      </w:r>
    </w:p>
    <w:p>
      <w:pPr>
        <w:pStyle w:val="Paragraphevademecumformif"/>
        <w:pBdr>
          <w:top w:val="single" w:sz="4" w:space="1" w:color="auto"/>
          <w:left w:val="single" w:sz="4" w:space="4" w:color="auto"/>
          <w:bottom w:val="single" w:sz="4" w:space="1" w:color="auto"/>
          <w:right w:val="single" w:sz="4" w:space="4" w:color="auto"/>
        </w:pBdr>
        <w:spacing w:before="0" w:after="0" w:line="276" w:lineRule="auto"/>
        <w:jc w:val="center"/>
        <w:rPr>
          <w:rFonts w:asciiTheme="minorHAnsi" w:hAnsiTheme="minorHAnsi" w:cstheme="minorHAnsi"/>
          <w:szCs w:val="20"/>
        </w:rPr>
      </w:pPr>
      <w:r>
        <w:rPr>
          <w:rFonts w:asciiTheme="minorHAnsi" w:hAnsiTheme="minorHAnsi" w:cstheme="minorHAnsi"/>
          <w:szCs w:val="20"/>
        </w:rPr>
        <w:t>Direction Générale de l’Enseignement Obligatoire</w:t>
      </w:r>
    </w:p>
    <w:p>
      <w:pPr>
        <w:pStyle w:val="Paragraphevademecumformif"/>
        <w:pBdr>
          <w:top w:val="single" w:sz="4" w:space="1" w:color="auto"/>
          <w:left w:val="single" w:sz="4" w:space="4" w:color="auto"/>
          <w:bottom w:val="single" w:sz="4" w:space="1" w:color="auto"/>
          <w:right w:val="single" w:sz="4" w:space="4" w:color="auto"/>
        </w:pBdr>
        <w:spacing w:before="0" w:after="0" w:line="276" w:lineRule="auto"/>
        <w:jc w:val="center"/>
        <w:rPr>
          <w:rFonts w:asciiTheme="minorHAnsi" w:hAnsiTheme="minorHAnsi" w:cstheme="minorHAnsi"/>
          <w:szCs w:val="20"/>
        </w:rPr>
      </w:pPr>
      <w:r>
        <w:rPr>
          <w:rFonts w:asciiTheme="minorHAnsi" w:hAnsiTheme="minorHAnsi" w:cstheme="minorHAnsi"/>
          <w:szCs w:val="20"/>
        </w:rPr>
        <w:t>Direction "Relations Ecoles-Monde du Travail"</w:t>
      </w:r>
    </w:p>
    <w:p>
      <w:pPr>
        <w:pStyle w:val="Paragraphevademecumformif"/>
        <w:pBdr>
          <w:top w:val="single" w:sz="4" w:space="1" w:color="auto"/>
          <w:left w:val="single" w:sz="4" w:space="4" w:color="auto"/>
          <w:bottom w:val="single" w:sz="4" w:space="1" w:color="auto"/>
          <w:right w:val="single" w:sz="4" w:space="4" w:color="auto"/>
        </w:pBdr>
        <w:spacing w:before="0" w:after="0" w:line="276" w:lineRule="auto"/>
        <w:jc w:val="center"/>
        <w:rPr>
          <w:rFonts w:asciiTheme="minorHAnsi" w:hAnsiTheme="minorHAnsi" w:cstheme="minorHAnsi"/>
          <w:szCs w:val="20"/>
        </w:rPr>
      </w:pPr>
      <w:r>
        <w:rPr>
          <w:rFonts w:asciiTheme="minorHAnsi" w:hAnsiTheme="minorHAnsi" w:cstheme="minorHAnsi"/>
          <w:szCs w:val="20"/>
        </w:rPr>
        <w:t>Service CTA, Fonds d’équipement et Cadastre</w:t>
      </w:r>
    </w:p>
    <w:p>
      <w:pPr>
        <w:pStyle w:val="Paragraphevademecumformif"/>
        <w:pBdr>
          <w:top w:val="single" w:sz="4" w:space="1" w:color="auto"/>
          <w:left w:val="single" w:sz="4" w:space="4" w:color="auto"/>
          <w:bottom w:val="single" w:sz="4" w:space="1" w:color="auto"/>
          <w:right w:val="single" w:sz="4" w:space="4" w:color="auto"/>
        </w:pBdr>
        <w:spacing w:before="0" w:after="0" w:line="276" w:lineRule="auto"/>
        <w:jc w:val="center"/>
        <w:rPr>
          <w:rFonts w:asciiTheme="minorHAnsi" w:hAnsiTheme="minorHAnsi" w:cstheme="minorHAnsi"/>
          <w:szCs w:val="20"/>
        </w:rPr>
      </w:pPr>
      <w:r>
        <w:rPr>
          <w:rFonts w:asciiTheme="minorHAnsi" w:hAnsiTheme="minorHAnsi" w:cstheme="minorHAnsi"/>
          <w:szCs w:val="20"/>
        </w:rPr>
        <w:t>Rue A. Lavallée, 1 – 1080 Bruxelles</w:t>
      </w:r>
    </w:p>
    <w:p>
      <w:pPr>
        <w:pStyle w:val="Paragraphevademecumformif"/>
        <w:pBdr>
          <w:top w:val="single" w:sz="4" w:space="1" w:color="auto"/>
          <w:left w:val="single" w:sz="4" w:space="4" w:color="auto"/>
          <w:bottom w:val="single" w:sz="4" w:space="1" w:color="auto"/>
          <w:right w:val="single" w:sz="4" w:space="4" w:color="auto"/>
        </w:pBdr>
        <w:spacing w:before="0" w:after="120" w:line="276" w:lineRule="auto"/>
        <w:jc w:val="center"/>
        <w:rPr>
          <w:rFonts w:asciiTheme="minorHAnsi" w:hAnsiTheme="minorHAnsi" w:cstheme="minorHAnsi"/>
          <w:szCs w:val="20"/>
        </w:rPr>
      </w:pPr>
      <w:r>
        <w:rPr>
          <w:rFonts w:asciiTheme="minorHAnsi" w:hAnsiTheme="minorHAnsi" w:cstheme="minorHAnsi"/>
          <w:szCs w:val="20"/>
        </w:rPr>
        <w:t>Tél : 02/690.88.97 – Fax : 02/690.85.33</w:t>
      </w:r>
    </w:p>
    <w:p>
      <w:pPr>
        <w:pStyle w:val="Titre1"/>
        <w:keepNext w:val="0"/>
        <w:numPr>
          <w:ilvl w:val="0"/>
          <w:numId w:val="91"/>
        </w:numPr>
        <w:spacing w:after="240" w:line="276" w:lineRule="auto"/>
        <w:ind w:left="425" w:hanging="425"/>
        <w:jc w:val="both"/>
        <w:rPr>
          <w:rFonts w:asciiTheme="minorHAnsi" w:hAnsiTheme="minorHAnsi" w:cstheme="minorHAnsi"/>
          <w:bCs w:val="0"/>
          <w:sz w:val="28"/>
          <w:szCs w:val="28"/>
          <w:u w:val="single"/>
        </w:rPr>
      </w:pPr>
      <w:bookmarkStart w:id="21" w:name="_Toc440442404"/>
      <w:r>
        <w:rPr>
          <w:rFonts w:asciiTheme="minorHAnsi" w:hAnsiTheme="minorHAnsi" w:cstheme="minorHAnsi"/>
          <w:bCs w:val="0"/>
          <w:sz w:val="28"/>
          <w:szCs w:val="28"/>
          <w:u w:val="single"/>
        </w:rPr>
        <w:t>ACCES AU PARTAGE</w:t>
      </w:r>
      <w:bookmarkEnd w:id="17"/>
      <w:bookmarkEnd w:id="18"/>
      <w:bookmarkEnd w:id="19"/>
      <w:bookmarkEnd w:id="20"/>
      <w:r>
        <w:rPr>
          <w:rFonts w:asciiTheme="minorHAnsi" w:hAnsiTheme="minorHAnsi" w:cstheme="minorHAnsi"/>
          <w:bCs w:val="0"/>
          <w:sz w:val="28"/>
          <w:szCs w:val="28"/>
          <w:u w:val="single"/>
        </w:rPr>
        <w:t xml:space="preserve"> RESEAU</w:t>
      </w:r>
      <w:bookmarkEnd w:id="21"/>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L’espace de stockage virtuel est accessible via n’importe quel navigateur Internet (Google Chrome, Mozilla Firefox, Internet Explorer, etc.).</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L’adresse URL pour y accéder est : </w:t>
      </w:r>
      <w:r>
        <w:rPr>
          <w:rFonts w:asciiTheme="minorHAnsi" w:hAnsiTheme="minorHAnsi" w:cstheme="minorHAnsi"/>
          <w:b/>
          <w:color w:val="FF0000"/>
          <w:sz w:val="20"/>
          <w:szCs w:val="20"/>
          <w:u w:val="single"/>
        </w:rPr>
        <w:t>ged.cfwb.be</w:t>
      </w:r>
      <w:r>
        <w:rPr>
          <w:rFonts w:asciiTheme="minorHAnsi" w:hAnsiTheme="minorHAnsi" w:cstheme="minorHAnsi"/>
          <w:b/>
          <w:color w:val="FF0000"/>
          <w:sz w:val="20"/>
          <w:szCs w:val="20"/>
        </w:rPr>
        <w:t xml:space="preserve">. </w:t>
      </w:r>
      <w:r>
        <w:rPr>
          <w:rFonts w:asciiTheme="minorHAnsi" w:hAnsiTheme="minorHAnsi" w:cstheme="minorHAnsi"/>
          <w:sz w:val="20"/>
          <w:szCs w:val="20"/>
        </w:rPr>
        <w:t>Pour accéder au partage, il suffit d’écrire ou de copier/coller cet adresse dans la barre de votre navigateur :</w:t>
      </w:r>
    </w:p>
    <w:p>
      <w:pPr>
        <w:spacing w:before="120" w:after="240" w:line="276" w:lineRule="auto"/>
        <w:jc w:val="center"/>
        <w:rPr>
          <w:rFonts w:asciiTheme="minorHAnsi" w:hAnsiTheme="minorHAnsi" w:cstheme="minorHAnsi"/>
          <w:szCs w:val="20"/>
        </w:rPr>
      </w:pPr>
      <w:r>
        <w:rPr>
          <w:rFonts w:asciiTheme="minorHAnsi" w:hAnsiTheme="minorHAnsi" w:cstheme="minorHAnsi"/>
          <w:b/>
          <w:noProof/>
          <w:color w:val="FF0000"/>
          <w:szCs w:val="20"/>
          <w:lang w:eastAsia="fr-BE"/>
        </w:rPr>
        <mc:AlternateContent>
          <mc:Choice Requires="wps">
            <w:drawing>
              <wp:anchor distT="0" distB="0" distL="114300" distR="114300" simplePos="0" relativeHeight="251652096" behindDoc="0" locked="0" layoutInCell="1" allowOverlap="1">
                <wp:simplePos x="0" y="0"/>
                <wp:positionH relativeFrom="column">
                  <wp:posOffset>301752</wp:posOffset>
                </wp:positionH>
                <wp:positionV relativeFrom="paragraph">
                  <wp:posOffset>46990</wp:posOffset>
                </wp:positionV>
                <wp:extent cx="1143000" cy="342900"/>
                <wp:effectExtent l="19685" t="22225" r="18415" b="15875"/>
                <wp:wrapNone/>
                <wp:docPr id="93" name="Oval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42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7" o:spid="_x0000_s1026" style="position:absolute;margin-left:23.75pt;margin-top:3.7pt;width:90pt;height: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g1QdQIAAO8EAAAOAAAAZHJzL2Uyb0RvYy54bWysVFFv2jAQfp+0/2D5nSaBUCAiVBUh06Ru&#10;rdTtB5jYIdYc27MNoZv633d2AoPuZZrGQzj7zp+/u/vOy7tjK9CBGcuVzHFyE2PEZKUol7scf/1S&#10;juYYWUckJUJJluMXZvHd6v27ZaczNlaNEpQZBCDSZp3OceOczqLIVg1rib1Rmklw1sq0xMHS7CJq&#10;SAforYjGcXwbdcpQbVTFrIXdonfiVcCva1a5x7q2zCGRY+DmwteE79Z/o9WSZDtDdMOrgQb5BxYt&#10;4RIuPUMVxBG0N/wPqJZXRllVu5tKtZGqa16xkANkk8RvsnluiGYhFyiO1ecy2f8HW30+PBnEaY4X&#10;E4wkaaFHjwci0Gzma9Npm0HIs34yPjurH1T1zSKp1g2RO3ZvjOoaRigwSnx8dHXALywcRdvuk6KA&#10;TPZOhTIda9N6QCgAOoZuvJy7wY4OVbCZJOkkjqFpFfgm6XgBtr+CZKfT2lj3gakWeSPHTAiurS8Y&#10;ycjhwbo++hTlt6UquRCwTzIhUZfj8Xw6m4YTVglOvdc7rdlt18IgqESOyxJonO6+CjNqL2lA80XY&#10;DLYjXPQ2cBXS40FOwGewemH8XMSLzXwzT0fp+HYzSuOiGN2X63R0WyazaTEp1usiefXUkjRrOKVM&#10;enYnkSbp34lgGJdeXmeZXmXxJtkSfkOhL8KiaxqhD5DV6T9kF7rvG94LZ6voCzTfqH7q4JUAo1Hm&#10;B0YdTFyO7fc9MQwj8VGCgBZJmvoRDYt0OhvDwlx6tpceIiuAyrHDqDfXrh/rvTZ818BNSWirVPcg&#10;upoHMXhB9qwGqcJUhQyGF8CP7eU6RP1+p1a/AAAA//8DAFBLAwQUAAYACAAAACEAz4nlL90AAAAH&#10;AQAADwAAAGRycy9kb3ducmV2LnhtbEyOTUvEMBRF94L/ITzBnZNO6XxQ+zoURTeCMqOIy7R501ab&#10;l9KkneqvN7PS5eVezj3ZbjadmGhwrWWE5SICQVxZ3XKN8Pb6cLMF4bxirTrLhPBNDnb55UWmUm1P&#10;vKfp4GsRIOxShdB436dSuqoho9zC9sShO9rBKB/iUEs9qFOAm07GUbSWRrUcHhrV011D1ddhNAjF&#10;9POoXtqncjXa7fxxlPfF+/Mn4vXVXNyC8DT7vzGc9YM65MGptCNrJzqEZLMKS4RNAiLUcXzOJcJ6&#10;mYDMM/nfP/8FAAD//wMAUEsBAi0AFAAGAAgAAAAhALaDOJL+AAAA4QEAABMAAAAAAAAAAAAAAAAA&#10;AAAAAFtDb250ZW50X1R5cGVzXS54bWxQSwECLQAUAAYACAAAACEAOP0h/9YAAACUAQAACwAAAAAA&#10;AAAAAAAAAAAvAQAAX3JlbHMvLnJlbHNQSwECLQAUAAYACAAAACEAzx4NUHUCAADvBAAADgAAAAAA&#10;AAAAAAAAAAAuAgAAZHJzL2Uyb0RvYy54bWxQSwECLQAUAAYACAAAACEAz4nlL90AAAAHAQAADwAA&#10;AAAAAAAAAAAAAADPBAAAZHJzL2Rvd25yZXYueG1sUEsFBgAAAAAEAAQA8wAAANkFAAAAAA==&#10;" filled="f" strokecolor="red" strokeweight="2.25pt"/>
            </w:pict>
          </mc:Fallback>
        </mc:AlternateContent>
      </w:r>
      <w:r>
        <w:rPr>
          <w:rFonts w:asciiTheme="minorHAnsi" w:hAnsiTheme="minorHAnsi" w:cstheme="minorHAnsi"/>
          <w:b/>
          <w:noProof/>
          <w:color w:val="FF0000"/>
          <w:szCs w:val="20"/>
          <w:lang w:eastAsia="fr-BE"/>
        </w:rPr>
        <w:drawing>
          <wp:inline distT="0" distB="0" distL="0" distR="0">
            <wp:extent cx="4680000" cy="1882800"/>
            <wp:effectExtent l="19050" t="19050" r="25400" b="22225"/>
            <wp:docPr id="12" name="Image 12" descr="Acces partage ad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cces partage adress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80000" cy="1882800"/>
                    </a:xfrm>
                    <a:prstGeom prst="rect">
                      <a:avLst/>
                    </a:prstGeom>
                    <a:noFill/>
                    <a:ln w="6350" cmpd="sng">
                      <a:solidFill>
                        <a:srgbClr val="000000"/>
                      </a:solidFill>
                      <a:miter lim="800000"/>
                      <a:headEnd/>
                      <a:tailEnd/>
                    </a:ln>
                    <a:effectLst/>
                  </pic:spPr>
                </pic:pic>
              </a:graphicData>
            </a:graphic>
          </wp:inline>
        </w:drawing>
      </w:r>
    </w:p>
    <w:p>
      <w:pPr>
        <w:spacing w:line="276" w:lineRule="auto"/>
        <w:rPr>
          <w:rFonts w:asciiTheme="minorHAnsi" w:hAnsiTheme="minorHAnsi" w:cstheme="minorHAnsi"/>
          <w:sz w:val="22"/>
          <w:szCs w:val="22"/>
        </w:rPr>
      </w:pPr>
      <w:r>
        <w:rPr>
          <w:rFonts w:asciiTheme="minorHAnsi" w:hAnsiTheme="minorHAnsi" w:cstheme="minorHAnsi"/>
          <w:sz w:val="22"/>
          <w:szCs w:val="22"/>
        </w:rPr>
        <w:br w:type="page"/>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Une fois l’adresse encodée, poussez sur Enter pour accéder à la page d’accueil.</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Cet espace est un partage sécurisé. Cela implique qu’il n’est accessible qu’avec des accès nominatifs.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Vous pouvez entrer sur cet espace en utilisant vos </w:t>
      </w:r>
      <w:r>
        <w:rPr>
          <w:rFonts w:asciiTheme="minorHAnsi" w:hAnsiTheme="minorHAnsi" w:cstheme="minorHAnsi"/>
          <w:b/>
          <w:sz w:val="20"/>
          <w:szCs w:val="20"/>
          <w:u w:val="single"/>
        </w:rPr>
        <w:t>accès CERBERE</w:t>
      </w:r>
      <w:r>
        <w:rPr>
          <w:rFonts w:asciiTheme="minorHAnsi" w:hAnsiTheme="minorHAnsi" w:cstheme="minorHAnsi"/>
          <w:sz w:val="20"/>
          <w:szCs w:val="20"/>
        </w:rPr>
        <w:t>. Il s’agit des mêmes codes d’accès que ceux utilisés pour l’accès au formulaire d’encodage, à savoir l’adresse mail cfwb de votre CTA et votre mot de passe.</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L’espace de stockage global disponible pour l’ensemble des dossiers du partage est de 50 giga octets. Evitez donc d’y stocker des supports conséquents type photos ou vidéos.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 partage CTA est avant tout destiné part à vous permettre d’accéder facilement aux documents mis à votre disposition par l’administration, mais également de pouvoir stocker vos documents dans votre dossier nominatif.</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Une sauvegarde des dossiers est effectuée régulièrement par notre prestataire de services informatiques ETNIC. Le stockage de documents sur ce réseau permet donc un backup sécurisé des données qui y sont entreposées.</w:t>
      </w:r>
    </w:p>
    <w:p>
      <w:pPr>
        <w:pStyle w:val="Titre1"/>
        <w:keepNext w:val="0"/>
        <w:numPr>
          <w:ilvl w:val="0"/>
          <w:numId w:val="91"/>
        </w:numPr>
        <w:spacing w:after="240" w:line="276" w:lineRule="auto"/>
        <w:ind w:left="425" w:hanging="425"/>
        <w:jc w:val="both"/>
        <w:rPr>
          <w:rFonts w:asciiTheme="minorHAnsi" w:hAnsiTheme="minorHAnsi" w:cstheme="minorHAnsi"/>
          <w:bCs w:val="0"/>
          <w:sz w:val="28"/>
          <w:szCs w:val="28"/>
          <w:u w:val="single"/>
        </w:rPr>
      </w:pPr>
      <w:bookmarkStart w:id="22" w:name="_Toc440442405"/>
      <w:r>
        <w:rPr>
          <w:rFonts w:asciiTheme="minorHAnsi" w:hAnsiTheme="minorHAnsi" w:cstheme="minorHAnsi"/>
          <w:bCs w:val="0"/>
          <w:sz w:val="28"/>
          <w:szCs w:val="28"/>
          <w:u w:val="single"/>
        </w:rPr>
        <w:t xml:space="preserve">PAGE D’ACCUEIL </w:t>
      </w:r>
      <w:r>
        <w:rPr>
          <w:rFonts w:asciiTheme="minorHAnsi" w:hAnsiTheme="minorHAnsi" w:cstheme="minorHAnsi"/>
          <w:bCs w:val="0"/>
          <w:caps/>
          <w:sz w:val="28"/>
          <w:szCs w:val="28"/>
          <w:u w:val="single"/>
        </w:rPr>
        <w:t>du partage</w:t>
      </w:r>
      <w:bookmarkEnd w:id="22"/>
    </w:p>
    <w:p>
      <w:pPr>
        <w:spacing w:after="120" w:line="276" w:lineRule="auto"/>
        <w:jc w:val="both"/>
        <w:rPr>
          <w:rFonts w:asciiTheme="minorHAnsi" w:hAnsiTheme="minorHAnsi" w:cstheme="minorHAnsi"/>
          <w:sz w:val="22"/>
          <w:szCs w:val="22"/>
        </w:rPr>
      </w:pPr>
      <w:r>
        <w:rPr>
          <w:rFonts w:asciiTheme="minorHAnsi" w:hAnsiTheme="minorHAnsi" w:cstheme="minorHAnsi"/>
          <w:sz w:val="22"/>
          <w:szCs w:val="22"/>
        </w:rPr>
        <w:t>Une fois l’adresse encodée dans le navigateur, vous accédez à cette interface :</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noProof/>
          <w:lang w:eastAsia="fr-BE"/>
        </w:rPr>
        <w:drawing>
          <wp:inline distT="0" distB="0" distL="0" distR="0">
            <wp:extent cx="5747385" cy="2321560"/>
            <wp:effectExtent l="19050" t="19050" r="24765" b="21590"/>
            <wp:docPr id="13" name="Image 13" descr="écran accueil partage c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écran accueil partage ct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47385" cy="2321560"/>
                    </a:xfrm>
                    <a:prstGeom prst="rect">
                      <a:avLst/>
                    </a:prstGeom>
                    <a:noFill/>
                    <a:ln w="6350" cmpd="sng">
                      <a:solidFill>
                        <a:srgbClr val="000000"/>
                      </a:solidFill>
                      <a:miter lim="800000"/>
                      <a:headEnd/>
                      <a:tailEnd/>
                    </a:ln>
                    <a:effectLst/>
                  </pic:spPr>
                </pic:pic>
              </a:graphicData>
            </a:graphic>
          </wp:inline>
        </w:drawing>
      </w:r>
      <w:r>
        <w:rPr>
          <w:rFonts w:asciiTheme="minorHAnsi" w:hAnsiTheme="minorHAnsi" w:cstheme="minorHAnsi"/>
          <w:b/>
          <w:szCs w:val="20"/>
        </w:rPr>
        <w:t>Vos accès personnels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En haut à droite de l’écran, l’identité du compte connecté est précisée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1769110" cy="487045"/>
            <wp:effectExtent l="19050" t="19050" r="21590" b="27305"/>
            <wp:docPr id="14" name="Image 14" descr="accès person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ccès personnel"/>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69110" cy="487045"/>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Il vous est possible de vous déconnecter du partage en cliquant sur le lien Déconnexion.</w:t>
      </w:r>
    </w:p>
    <w:p>
      <w:pPr>
        <w:spacing w:line="276" w:lineRule="auto"/>
        <w:rPr>
          <w:rFonts w:asciiTheme="minorHAnsi" w:hAnsiTheme="minorHAnsi" w:cstheme="minorHAnsi"/>
          <w:b/>
          <w:szCs w:val="20"/>
        </w:rPr>
      </w:pPr>
      <w:r>
        <w:rPr>
          <w:rFonts w:asciiTheme="minorHAnsi" w:hAnsiTheme="minorHAnsi" w:cstheme="minorHAnsi"/>
          <w:b/>
          <w:szCs w:val="20"/>
        </w:rPr>
        <w:br w:type="page"/>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lastRenderedPageBreak/>
        <w:t>Espaces disponibles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La structuration du partage est assez simple. Il est constitué de 31 dossiers, le dossier de l’administration et vos dossiers personnels :</w:t>
      </w:r>
    </w:p>
    <w:p>
      <w:pPr>
        <w:spacing w:after="120" w:line="276" w:lineRule="auto"/>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5747385" cy="2033625"/>
            <wp:effectExtent l="19050" t="19050" r="24765" b="24130"/>
            <wp:docPr id="15" name="Image 15" descr="Dossiers par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ossiers partag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3132" cy="2039197"/>
                    </a:xfrm>
                    <a:prstGeom prst="rect">
                      <a:avLst/>
                    </a:prstGeom>
                    <a:noFill/>
                    <a:ln w="6350" cmpd="sng">
                      <a:solidFill>
                        <a:srgbClr val="000000"/>
                      </a:solidFill>
                      <a:miter lim="800000"/>
                      <a:headEnd/>
                      <a:tailEnd/>
                    </a:ln>
                    <a:effectLst/>
                  </pic:spPr>
                </pic:pic>
              </a:graphicData>
            </a:graphic>
          </wp:inline>
        </w:drawing>
      </w:r>
    </w:p>
    <w:p>
      <w:pPr>
        <w:pStyle w:val="Titre1"/>
        <w:keepNext w:val="0"/>
        <w:numPr>
          <w:ilvl w:val="0"/>
          <w:numId w:val="91"/>
        </w:numPr>
        <w:spacing w:after="240" w:line="276" w:lineRule="auto"/>
        <w:ind w:left="425" w:hanging="425"/>
        <w:jc w:val="both"/>
        <w:rPr>
          <w:rFonts w:asciiTheme="minorHAnsi" w:hAnsiTheme="minorHAnsi" w:cstheme="minorHAnsi"/>
          <w:bCs w:val="0"/>
          <w:sz w:val="28"/>
          <w:szCs w:val="28"/>
          <w:u w:val="single"/>
        </w:rPr>
      </w:pPr>
      <w:bookmarkStart w:id="23" w:name="_Toc440442406"/>
      <w:r>
        <w:rPr>
          <w:rFonts w:asciiTheme="minorHAnsi" w:hAnsiTheme="minorHAnsi" w:cstheme="minorHAnsi"/>
          <w:bCs w:val="0"/>
          <w:sz w:val="28"/>
          <w:szCs w:val="28"/>
          <w:u w:val="single"/>
        </w:rPr>
        <w:t>STRUCTURE DU PARTAGE RESEAU</w:t>
      </w:r>
      <w:bookmarkEnd w:id="23"/>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 partage est constitué d’un dossier propre à l’administration intitulé « Commun.Mfwb » et de 30 dossiers nominatifs, soit un dossier par CTA.</w:t>
      </w:r>
    </w:p>
    <w:p>
      <w:pPr>
        <w:pStyle w:val="Paragraphedeliste"/>
        <w:numPr>
          <w:ilvl w:val="1"/>
          <w:numId w:val="91"/>
        </w:numPr>
        <w:spacing w:before="240" w:after="360" w:line="276" w:lineRule="auto"/>
        <w:ind w:left="709"/>
        <w:jc w:val="both"/>
        <w:rPr>
          <w:rFonts w:asciiTheme="minorHAnsi" w:hAnsiTheme="minorHAnsi" w:cstheme="minorHAnsi"/>
          <w:b/>
          <w:szCs w:val="20"/>
        </w:rPr>
      </w:pPr>
      <w:r>
        <w:rPr>
          <w:rFonts w:asciiTheme="minorHAnsi" w:hAnsiTheme="minorHAnsi" w:cstheme="minorHAnsi"/>
          <w:b/>
          <w:szCs w:val="20"/>
        </w:rPr>
        <w:t>Dossier Administration « Commun.Mfwb »</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 dossier géré par l’administration est le premier dossier de la liste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53120" behindDoc="0" locked="0" layoutInCell="1" allowOverlap="1">
                <wp:simplePos x="0" y="0"/>
                <wp:positionH relativeFrom="column">
                  <wp:posOffset>635483</wp:posOffset>
                </wp:positionH>
                <wp:positionV relativeFrom="paragraph">
                  <wp:posOffset>606705</wp:posOffset>
                </wp:positionV>
                <wp:extent cx="1256030" cy="400050"/>
                <wp:effectExtent l="21590" t="15240" r="17780" b="22860"/>
                <wp:wrapNone/>
                <wp:docPr id="92" name="Oval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6030" cy="40005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8" o:spid="_x0000_s1026" style="position:absolute;margin-left:50.05pt;margin-top:47.75pt;width:98.9pt;height:31.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7BZeAIAAO8EAAAOAAAAZHJzL2Uyb0RvYy54bWysVNuO2yAQfa/Uf0C8J76sc7PWWUVxXFXa&#10;dlfa9gOIwTEqBgokzrbaf++Ak+ymfamq+gEPDAxz5pzh9u7YCXRgxnIlC5yMY4yYrBXlclfgr1+q&#10;0Rwj64ikRCjJCvzMLL5bvn932+ucpapVgjKDIIi0ea8L3Dqn8yiydcs6YsdKMwnORpmOOJiaXUQN&#10;6SF6J6I0jqdRrwzVRtXMWlgtBydehvhNw2r30DSWOSQKDLm5MJowbv0YLW9JvjNEt7w+pUH+IYuO&#10;cAmXXkKVxBG0N/yPUB2vjbKqceNadZFqGl6zgAHQJPFvaJ5aolnAAsWx+lIm+//C1p8PjwZxWuBF&#10;ipEkHXD0cCACzea+Nr22OWx50o/Go7P6XtXfLJJq3RK5YytjVN8yQiGjxO+Prg74iYWjaNt/UhQi&#10;k71ToUzHxnQ+IBQAHQMbzxc22NGhGhaTdDKNb4C0GnxZHMeTQFdE8vNpbaz7wFSHvFFgJgTX1heM&#10;5ORwb51PiOTnXX5ZqooLEUgXEvUFTueT2SScsEpw6r0BqNlt18IgqESBqwouP999tc2ovaQhmi/C&#10;5mQ7wsVgw+1C+niACfI5WYMwfi7ixWa+mWejLJ1uRllclqNVtc5G0yqZTcqbcr0ukxefWpLlLaeU&#10;SZ/dWaRJ9nciOLXLIK+LTK9Q2GuwFXyBS+D7tSbRdRqhsoDq/A/oAvue8EE4W0WfgXyjhq6DVwKM&#10;VpkfGPXQcQW23/fEMIzERwkCWiRZ5ls0TLLJLIWJeevZvvUQWUOoAjuMBnPthrbea8N3LdyUBFql&#10;WoHoGh7E4AU5ZHWSKnRVQHB6AXzbvp2HXa/v1PIXAAAA//8DAFBLAwQUAAYACAAAACEAQC16gt8A&#10;AAAKAQAADwAAAGRycy9kb3ducmV2LnhtbEyPQUvEMBCF74L/IYzgzU12Idp2my5F0YuguIrsMW1m&#10;22qTlCbtVn+940mPj/fx5pt8t9iezTiGzjsF65UAhq72pnONgrfX+6sEWIjaGd17hwq+MMCuOD/L&#10;dWb8yb3gvI8NoxEXMq2gjXHIOA91i1aHlR/QUXf0o9WR4thwM+oTjdueb4S45lZ3ji60esDbFuvP&#10;/WQVlPP3g37uHis5+WQ5HPld+f70odTlxVJugUVc4h8Mv/qkDgU5VX5yJrCeshBrQhWkUgIjYJPe&#10;pMAqamQigRc5//9C8QMAAP//AwBQSwECLQAUAAYACAAAACEAtoM4kv4AAADhAQAAEwAAAAAAAAAA&#10;AAAAAAAAAAAAW0NvbnRlbnRfVHlwZXNdLnhtbFBLAQItABQABgAIAAAAIQA4/SH/1gAAAJQBAAAL&#10;AAAAAAAAAAAAAAAAAC8BAABfcmVscy8ucmVsc1BLAQItABQABgAIAAAAIQAUD7BZeAIAAO8EAAAO&#10;AAAAAAAAAAAAAAAAAC4CAABkcnMvZTJvRG9jLnhtbFBLAQItABQABgAIAAAAIQBALXqC3wAAAAoB&#10;AAAPAAAAAAAAAAAAAAAAANIEAABkcnMvZG93bnJldi54bWxQSwUGAAAAAAQABADzAAAA3gUAAAAA&#10;" filled="f" strokecolor="red" strokeweight="2.25pt"/>
            </w:pict>
          </mc:Fallback>
        </mc:AlternateContent>
      </w:r>
      <w:r>
        <w:rPr>
          <w:rFonts w:asciiTheme="minorHAnsi" w:hAnsiTheme="minorHAnsi" w:cstheme="minorHAnsi"/>
          <w:noProof/>
          <w:szCs w:val="20"/>
          <w:lang w:eastAsia="fr-BE"/>
        </w:rPr>
        <w:drawing>
          <wp:inline distT="0" distB="0" distL="0" distR="0">
            <wp:extent cx="4752000" cy="3250800"/>
            <wp:effectExtent l="19050" t="19050" r="10795" b="26035"/>
            <wp:docPr id="16" name="Image 16" descr="Zoom Dossiers Par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oom Dossiers Partag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52000" cy="3250800"/>
                    </a:xfrm>
                    <a:prstGeom prst="rect">
                      <a:avLst/>
                    </a:prstGeom>
                    <a:noFill/>
                    <a:ln w="6350" cmpd="sng">
                      <a:solidFill>
                        <a:srgbClr val="000000"/>
                      </a:solidFill>
                      <a:miter lim="800000"/>
                      <a:headEnd/>
                      <a:tailEnd/>
                    </a:ln>
                    <a:effectLst/>
                  </pic:spPr>
                </pic:pic>
              </a:graphicData>
            </a:graphic>
          </wp:inline>
        </w:drawing>
      </w:r>
    </w:p>
    <w:p>
      <w:pPr>
        <w:spacing w:line="276" w:lineRule="auto"/>
        <w:rPr>
          <w:rFonts w:asciiTheme="minorHAnsi" w:hAnsiTheme="minorHAnsi" w:cstheme="minorHAnsi"/>
          <w:b/>
          <w:szCs w:val="20"/>
        </w:rPr>
      </w:pPr>
      <w:r>
        <w:rPr>
          <w:rFonts w:asciiTheme="minorHAnsi" w:hAnsiTheme="minorHAnsi" w:cstheme="minorHAnsi"/>
          <w:b/>
          <w:szCs w:val="20"/>
        </w:rPr>
        <w:br w:type="page"/>
      </w:r>
    </w:p>
    <w:p>
      <w:pPr>
        <w:pStyle w:val="Paragraphedeliste"/>
        <w:numPr>
          <w:ilvl w:val="1"/>
          <w:numId w:val="91"/>
        </w:numPr>
        <w:spacing w:after="240" w:line="276" w:lineRule="auto"/>
        <w:ind w:left="709"/>
        <w:jc w:val="both"/>
        <w:rPr>
          <w:rFonts w:asciiTheme="minorHAnsi" w:hAnsiTheme="minorHAnsi" w:cstheme="minorHAnsi"/>
          <w:b/>
          <w:szCs w:val="20"/>
        </w:rPr>
      </w:pPr>
      <w:r>
        <w:rPr>
          <w:rFonts w:asciiTheme="minorHAnsi" w:hAnsiTheme="minorHAnsi" w:cstheme="minorHAnsi"/>
          <w:b/>
          <w:szCs w:val="20"/>
        </w:rPr>
        <w:lastRenderedPageBreak/>
        <w:t>Dossier nominatifs CTA</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Les dossiers nominatifs créés pour chaque CTA sont libellés de la même manière que les adresses mails CWFB qui ont été mises à votre disposition.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54144" behindDoc="0" locked="0" layoutInCell="1" allowOverlap="1">
                <wp:simplePos x="0" y="0"/>
                <wp:positionH relativeFrom="column">
                  <wp:posOffset>644347</wp:posOffset>
                </wp:positionH>
                <wp:positionV relativeFrom="paragraph">
                  <wp:posOffset>2145182</wp:posOffset>
                </wp:positionV>
                <wp:extent cx="1560830" cy="400050"/>
                <wp:effectExtent l="21590" t="15875" r="17780" b="22225"/>
                <wp:wrapNone/>
                <wp:docPr id="91" name="Oval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0830" cy="40005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79" o:spid="_x0000_s1026" style="position:absolute;margin-left:50.75pt;margin-top:168.9pt;width:122.9pt;height:31.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nRheAIAAO8EAAAOAAAAZHJzL2Uyb0RvYy54bWysVF1v2yAUfZ+0/4B4T22nzpdVp6rieJrU&#10;rZW6/QACOEbDwIDE6ab+911wkjbbyzTND/jChcs995zLze2hk2jPrRNalTi7SjHiimom1LbEX7/U&#10;ozlGzhPFiNSKl/iZO3y7fP/upjcFH+tWS8YtgiDKFb0pceu9KZLE0ZZ3xF1pwxU4G2074mFqtwmz&#10;pIfonUzGaTpNem2ZsZpy52C1Gpx4GeM3Daf+oWkc90iWGHLzcbRx3IQxWd6QYmuJaQU9pkH+IYuO&#10;CAWXnkNVxBO0s+KPUJ2gVjvd+Cuqu0Q3jaA8YgA0WfobmqeWGB6xQHGcOZfJ/b+w9PP+0SLBSrzI&#10;MFKkA44e9kSi2SLUpjeugC1P5tEGdM7ca/rNIaVXLVFbfmet7ltOGGSUhf3JxYEwcXAUbfpPmkFk&#10;svM6lunQ2C4EhAKgQ2Tj+cwGP3hEYTGbTNP5NZBGwZenaTqJdCWkOJ021vkPXHcoGCXmUgrjQsFI&#10;Qfb3zoeESHHaFZaVroWUkXSpUF/i8Xwym8QTTkvBgjcCtdvNSloElShxXcPlp7svtlm9UyxGC0VY&#10;H21PhBxsuF2qEA8wQT5HaxDGz0W6WM/X83yUj6frUZ5W1eiuXuWjaZ3NJtV1tVpV2UtILcuLVjDG&#10;VcjuJNIs/zsRHNtlkNdZphco3CXYGr7IJfD9WpPkMo1YWUB1+kd0kf1A+CCcjWbPQL7VQ9fBKwFG&#10;q+0PjHrouBK77ztiOUbyowIBLbI8Dy0aJ/lkNoaJfevZvPUQRSFUiT1Gg7nyQ1vvjBXbFm7KIq1K&#10;34HoGhHFEAQ5ZHWUKnRVRHB8AULbvp3HXa/v1PIXAAAA//8DAFBLAwQUAAYACAAAACEA+q5eWeEA&#10;AAALAQAADwAAAGRycy9kb3ducmV2LnhtbEyPQU+DQBCF7yb+h82YeLO7ldYSZGmIRi8mGqtpehxg&#10;Cii7S9iFor/e8aTHl/ny5nvpdjadmGjwrbMalgsFgmzpqtbWGt7fHq5iED6grbBzljR8kYdtdn6W&#10;YlK5k32laRdqwSXWJ6ihCaFPpPRlQwb9wvVk+XZ0g8HAcahlNeCJy00nr5W6kQZbyx8a7OmuofJz&#10;NxoN+fT9iC/tU7EeXTwfjvI+3z9/aH15Mee3IALN4Q+GX31Wh4ydCjfayouOs1quGdUQRRvewES0&#10;2kQgCg0rpWKQWSr/b8h+AAAA//8DAFBLAQItABQABgAIAAAAIQC2gziS/gAAAOEBAAATAAAAAAAA&#10;AAAAAAAAAAAAAABbQ29udGVudF9UeXBlc10ueG1sUEsBAi0AFAAGAAgAAAAhADj9If/WAAAAlAEA&#10;AAsAAAAAAAAAAAAAAAAALwEAAF9yZWxzLy5yZWxzUEsBAi0AFAAGAAgAAAAhAHYydGF4AgAA7wQA&#10;AA4AAAAAAAAAAAAAAAAALgIAAGRycy9lMm9Eb2MueG1sUEsBAi0AFAAGAAgAAAAhAPquXlnhAAAA&#10;CwEAAA8AAAAAAAAAAAAAAAAA0gQAAGRycy9kb3ducmV2LnhtbFBLBQYAAAAABAAEAPMAAADgBQAA&#10;AAA=&#10;" filled="f" strokecolor="red" strokeweight="2.25pt"/>
            </w:pict>
          </mc:Fallback>
        </mc:AlternateContent>
      </w:r>
      <w:r>
        <w:rPr>
          <w:rFonts w:asciiTheme="minorHAnsi" w:hAnsiTheme="minorHAnsi" w:cstheme="minorHAnsi"/>
          <w:noProof/>
          <w:szCs w:val="20"/>
          <w:lang w:eastAsia="fr-BE"/>
        </w:rPr>
        <w:drawing>
          <wp:inline distT="0" distB="0" distL="0" distR="0">
            <wp:extent cx="4723200" cy="3240000"/>
            <wp:effectExtent l="19050" t="19050" r="20320" b="17780"/>
            <wp:docPr id="17" name="Image 17" descr="Zoom Dossiers Par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oom Dossiers Partag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23200" cy="324000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 nom des dossiers peut être changé à votre meilleure convenance. Pour ce faire, la méthodologie est détaillée au point 5.8. de ce vade-mecum.</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Vous pouvez bien entendu stocker dans votre dossier nominatif tous les documents désirés soit pour votre gestion, soit pour les archiver sur un réseau sécurisé.</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Les différentes fonctionnalités sont détaillées au point 5 du document.</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Navigation et Affichage des dossiers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L’affichage par défaut du nombre de dossiers à l’écran est de 10 : </w:t>
      </w:r>
      <w:r>
        <w:rPr>
          <w:rFonts w:asciiTheme="minorHAnsi" w:hAnsiTheme="minorHAnsi" w:cstheme="minorHAnsi"/>
          <w:noProof/>
          <w:sz w:val="20"/>
          <w:szCs w:val="20"/>
          <w:lang w:eastAsia="fr-BE"/>
        </w:rPr>
        <w:drawing>
          <wp:inline distT="0" distB="0" distL="0" distR="0">
            <wp:extent cx="1531620" cy="451485"/>
            <wp:effectExtent l="19050" t="19050" r="11430" b="24765"/>
            <wp:docPr id="18" name="Image 18" descr="éléments par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éléments par pag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31620" cy="451485"/>
                    </a:xfrm>
                    <a:prstGeom prst="rect">
                      <a:avLst/>
                    </a:prstGeom>
                    <a:noFill/>
                    <a:ln w="6350" cmpd="sng">
                      <a:solidFill>
                        <a:srgbClr val="000000"/>
                      </a:solidFill>
                      <a:miter lim="800000"/>
                      <a:headEnd/>
                      <a:tailEnd/>
                    </a:ln>
                    <a:effectLst/>
                  </pic:spPr>
                </pic:pic>
              </a:graphicData>
            </a:graphic>
          </wp:inline>
        </w:drawing>
      </w:r>
      <w:r>
        <w:rPr>
          <w:rFonts w:asciiTheme="minorHAnsi" w:hAnsiTheme="minorHAnsi" w:cstheme="minorHAnsi"/>
          <w:sz w:val="20"/>
          <w:szCs w:val="20"/>
        </w:rPr>
        <w:t>. Cette information se trouve en haut à droite de l’écran.</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Dès lors qu’il existe 31 dossiers au total dans le partage, tous les dossiers ne sont donc pas visibles sur la première page.</w:t>
      </w:r>
    </w:p>
    <w:p>
      <w:pPr>
        <w:spacing w:line="276" w:lineRule="auto"/>
        <w:rPr>
          <w:rFonts w:asciiTheme="minorHAnsi" w:hAnsiTheme="minorHAnsi" w:cstheme="minorHAnsi"/>
          <w:sz w:val="20"/>
          <w:szCs w:val="20"/>
        </w:rPr>
      </w:pPr>
      <w:r>
        <w:rPr>
          <w:rFonts w:asciiTheme="minorHAnsi" w:hAnsiTheme="minorHAnsi" w:cstheme="minorHAnsi"/>
          <w:sz w:val="20"/>
          <w:szCs w:val="20"/>
        </w:rPr>
        <w:br w:type="page"/>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Pour accéder aux autres pages, il vous suffit d’utiliser les boutons de navigation situés en-dessous de la liste des dossiers visibles à l’écran :</w:t>
      </w:r>
    </w:p>
    <w:p>
      <w:pPr>
        <w:spacing w:after="120" w:line="276" w:lineRule="auto"/>
        <w:rPr>
          <w:rFonts w:asciiTheme="minorHAnsi" w:hAnsiTheme="minorHAnsi" w:cstheme="minorHAnsi"/>
          <w:szCs w:val="20"/>
        </w:rPr>
      </w:pPr>
      <w:r>
        <w:rPr>
          <w:rFonts w:asciiTheme="minorHAnsi" w:hAnsiTheme="minorHAnsi" w:cstheme="minorHAnsi"/>
          <w:noProof/>
          <w:szCs w:val="20"/>
          <w:lang w:eastAsia="fr-BE"/>
        </w:rPr>
        <mc:AlternateContent>
          <mc:Choice Requires="wpg">
            <w:drawing>
              <wp:anchor distT="0" distB="0" distL="114300" distR="114300" simplePos="0" relativeHeight="251655168" behindDoc="0" locked="0" layoutInCell="1" allowOverlap="1">
                <wp:simplePos x="0" y="0"/>
                <wp:positionH relativeFrom="column">
                  <wp:posOffset>2133296</wp:posOffset>
                </wp:positionH>
                <wp:positionV relativeFrom="paragraph">
                  <wp:posOffset>1281964</wp:posOffset>
                </wp:positionV>
                <wp:extent cx="1560830" cy="821690"/>
                <wp:effectExtent l="15875" t="20955" r="23495" b="62230"/>
                <wp:wrapNone/>
                <wp:docPr id="88"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60830" cy="821690"/>
                          <a:chOff x="4766" y="9298"/>
                          <a:chExt cx="2458" cy="1294"/>
                        </a:xfrm>
                      </wpg:grpSpPr>
                      <wps:wsp>
                        <wps:cNvPr id="89" name="Line 81"/>
                        <wps:cNvCnPr>
                          <a:cxnSpLocks noChangeShapeType="1"/>
                        </wps:cNvCnPr>
                        <wps:spPr bwMode="auto">
                          <a:xfrm flipH="1">
                            <a:off x="5844" y="10018"/>
                            <a:ext cx="132" cy="574"/>
                          </a:xfrm>
                          <a:prstGeom prst="line">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90" name="Oval 82"/>
                        <wps:cNvSpPr>
                          <a:spLocks noChangeArrowheads="1"/>
                        </wps:cNvSpPr>
                        <wps:spPr bwMode="auto">
                          <a:xfrm>
                            <a:off x="4766" y="9298"/>
                            <a:ext cx="2458" cy="63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0" o:spid="_x0000_s1026" style="position:absolute;margin-left:168pt;margin-top:100.95pt;width:122.9pt;height:64.7pt;z-index:251655168" coordorigin="4766,9298" coordsize="2458,1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7r+ZgMAABkJAAAOAAAAZHJzL2Uyb0RvYy54bWzMVttu2zgQfV9g/4Hgu6NLJFsWohSBL9kF&#10;0m2Ath9AS5RElCJVko6cLfrvOyQlx06Lok3RYv0gkxpyOHPOmaGuXh06jh6o0kyKAkcXIUZUlLJi&#10;oinw+3fbWYaRNkRUhEtBC/xINX51/ecfV0Of01i2kldUIXAidD70BW6N6fMg0GVLO6IvZE8FGGup&#10;OmJgqpqgUmQA7x0P4jCcB4NUVa9kSbWGt2tvxNfOf13T0rypa00N4gWG2Ix7Kvfc2WdwfUXyRpG+&#10;ZeUYBnlBFB1hAg49uloTQ9BesS9cdaxUUsvaXJSyC2Rds5K6HCCbKHyWza2S+97l0uRD0x9hAmif&#10;4fRit+U/D/cKsarAGTAlSAccuWNR5sAZ+iaHNbeqf9vfK58hDO9k+UEDdsFzu503fjHaDa9lBf7I&#10;3kgHzqFWnXUBaaOD4+DxyAE9GFTCyyidh9klUFWCLYuj+XIkqWyBSbstWcznGIF1GS8zT2DZbsbt&#10;cZJCHnZvFC8Taw1I7s91sY6xWX2A4PQTpvrnMH3bkp46qrTFa8J0OWF6xwRFWWQDsifDkpXweJYH&#10;MeKJhFy1RDTUOXv32AN2bgdEfrLFTjSQ8XV8Uc1Z/5fdeIJ0miWJgywKw2jE7Aj4ZewBSxfneJG8&#10;V9rcUtkhOygwhxycV/Jwp42HdlpiDxNyyziH9yTnAg0FThdRGrodWnJWWas1atXsVlyhBwJFud2G&#10;8BuJOlsG4heV89ZSUm3GsSGMwxgZB49RDADjFNvjOlphxCn0ITvy8XFhT4RcIeJx5Ovy0zJcbrJN&#10;lsySeL6ZJeF6PbvZrpLZfBst0vXlerVaR59t8FGSt6yqqLDxTz0iSr5PL2O38tV97BJHpIJz706t&#10;EOz074J27FvCvXR2snq8Vza7UcK/SctQh2N/eAPEoSw+0fLUG7RvDEch3yglB8seVNeZkv2GbyvZ&#10;0jV2iq+U/CTfp4KfQ9fwpE99ZhLnqF/KoTT0j0k4ztJF+msk/H8W6FkhPqvXLfxGoE+WvVjJSEl/&#10;K8NXBAxaqf6FaoYbucD6454oqG3+twABLaMksVe4myTpIoaJOrXsTi1ElOCqwAYjP1wZf+3ve8Wa&#10;Fk7yHVLIG7ieaub6mRWkr6/T8nIXB9y/rirHbwV7wZ/O3fqnL5rr/wAAAP//AwBQSwMEFAAGAAgA&#10;AAAhAN1VymzgAAAACwEAAA8AAABkcnMvZG93bnJldi54bWxMj0FLw0AQhe+C/2EZwZvdbENLjdmU&#10;UtRTEWwF8bbNTpPQ7GzIbpP03zs96XF4jzffl68n14oB+9B40qBmCQik0tuGKg1fh7enFYgQDVnT&#10;ekINVwywLu7vcpNZP9InDvtYCR6hkBkNdYxdJmUoa3QmzHyHxNnJ985EPvtK2t6MPO5aOU+SpXSm&#10;If5Qmw63NZbn/cVpeB/NuEnV67A7n7bXn8Pi43unUOvHh2nzAiLiFP/KcMNndCiY6egvZINoNaTp&#10;kl2ihnminkFwY7FSLHO8RSoFWeTyv0PxCwAA//8DAFBLAQItABQABgAIAAAAIQC2gziS/gAAAOEB&#10;AAATAAAAAAAAAAAAAAAAAAAAAABbQ29udGVudF9UeXBlc10ueG1sUEsBAi0AFAAGAAgAAAAhADj9&#10;If/WAAAAlAEAAAsAAAAAAAAAAAAAAAAALwEAAF9yZWxzLy5yZWxzUEsBAi0AFAAGAAgAAAAhAE3n&#10;uv5mAwAAGQkAAA4AAAAAAAAAAAAAAAAALgIAAGRycy9lMm9Eb2MueG1sUEsBAi0AFAAGAAgAAAAh&#10;AN1VymzgAAAACwEAAA8AAAAAAAAAAAAAAAAAwAUAAGRycy9kb3ducmV2LnhtbFBLBQYAAAAABAAE&#10;APMAAADNBgAAAAA=&#10;">
                <v:line id="Line 81" o:spid="_x0000_s1027" style="position:absolute;flip:x;visibility:visible;mso-wrap-style:square" from="5844,10018" to="5976,10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2iMsQAAADbAAAADwAAAGRycy9kb3ducmV2LnhtbESPUUsDMRCE3wX/Q1ihbzZnoaWeTYsc&#10;LVUEodUfsFzWy+llc0227dVfbwTBx2FmvmEWq8F36kQxtYEN3I0LUMR1sC03Bt7fNrdzUEmQLXaB&#10;ycCFEqyW11cLLG04845Oe2lUhnAq0YAT6UutU+3IYxqHnjh7HyF6lCxjo23Ec4b7Tk+KYqY9tpwX&#10;HPZUOaq/9kdvYKh4ur3I61q+u5fq+ZDcZ5ztjBndDI8PoIQG+Q//tZ+sgfk9/H7JP0Av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HaIyxAAAANsAAAAPAAAAAAAAAAAA&#10;AAAAAKECAABkcnMvZG93bnJldi54bWxQSwUGAAAAAAQABAD5AAAAkgMAAAAA&#10;" strokecolor="red" strokeweight="4.5pt">
                  <v:stroke endarrow="block"/>
                </v:line>
                <v:oval id="Oval 82" o:spid="_x0000_s1028" style="position:absolute;left:4766;top:9298;width:2458;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cy7sIA&#10;AADbAAAADwAAAGRycy9kb3ducmV2LnhtbERPy2rCQBTdF/yH4Qru6kTBotFRQosiFFp8IC6vmWsS&#10;zdwJmTGmfr2zKLg8nPds0ZpSNFS7wrKCQT8CQZxaXXCmYL9bvo9BOI+ssbRMCv7IwWLeeZthrO2d&#10;N9RsfSZCCLsYFeTeV7GULs3JoOvbijhwZ1sb9AHWmdQ13kO4KeUwij6kwYJDQ44VfeaUXrc3oyBp&#10;Hiv8Lb5Po5sdt8ez/EoOPxelet02mYLw1PqX+N+91gomYX34En6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zLuwgAAANsAAAAPAAAAAAAAAAAAAAAAAJgCAABkcnMvZG93&#10;bnJldi54bWxQSwUGAAAAAAQABAD1AAAAhwMAAAAA&#10;" filled="f" strokecolor="red" strokeweight="2.25pt"/>
              </v:group>
            </w:pict>
          </mc:Fallback>
        </mc:AlternateContent>
      </w:r>
      <w:r>
        <w:rPr>
          <w:rFonts w:asciiTheme="minorHAnsi" w:hAnsiTheme="minorHAnsi" w:cstheme="minorHAnsi"/>
          <w:noProof/>
          <w:szCs w:val="20"/>
          <w:lang w:eastAsia="fr-BE"/>
        </w:rPr>
        <w:drawing>
          <wp:inline distT="0" distB="0" distL="0" distR="0">
            <wp:extent cx="5747385" cy="1543685"/>
            <wp:effectExtent l="19050" t="19050" r="24765" b="18415"/>
            <wp:docPr id="19" name="Image 19" descr="Dossiers par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ossiers partag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47385" cy="1543685"/>
                    </a:xfrm>
                    <a:prstGeom prst="rect">
                      <a:avLst/>
                    </a:prstGeom>
                    <a:noFill/>
                    <a:ln w="6350" cmpd="sng">
                      <a:solidFill>
                        <a:srgbClr val="000000"/>
                      </a:solidFill>
                      <a:miter lim="800000"/>
                      <a:headEnd/>
                      <a:tailEnd/>
                    </a:ln>
                    <a:effectLst/>
                  </pic:spPr>
                </pic:pic>
              </a:graphicData>
            </a:graphic>
          </wp:inline>
        </w:drawing>
      </w:r>
    </w:p>
    <w:p>
      <w:pPr>
        <w:spacing w:after="120" w:line="276" w:lineRule="auto"/>
        <w:rPr>
          <w:rFonts w:asciiTheme="minorHAnsi" w:hAnsiTheme="minorHAnsi" w:cstheme="minorHAnsi"/>
          <w:szCs w:val="20"/>
        </w:rPr>
      </w:pP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3408045" cy="320675"/>
            <wp:effectExtent l="19050" t="19050" r="20955" b="22225"/>
            <wp:docPr id="20" name="Image 20" descr="navig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avigatio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08045" cy="320675"/>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Vous pouvez également augmenter le nombre de dossiers affichés à l’écran en modifiant le nombre d’éléments par page.</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56192" behindDoc="0" locked="0" layoutInCell="1" allowOverlap="1">
                <wp:simplePos x="0" y="0"/>
                <wp:positionH relativeFrom="column">
                  <wp:posOffset>4923740</wp:posOffset>
                </wp:positionH>
                <wp:positionV relativeFrom="paragraph">
                  <wp:posOffset>25044</wp:posOffset>
                </wp:positionV>
                <wp:extent cx="1027430" cy="224790"/>
                <wp:effectExtent l="23495" t="14605" r="15875" b="17780"/>
                <wp:wrapNone/>
                <wp:docPr id="87" name="Oval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7430" cy="22479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3" o:spid="_x0000_s1026" style="position:absolute;margin-left:387.7pt;margin-top:1.95pt;width:80.9pt;height:17.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jl+dgIAAO8EAAAOAAAAZHJzL2Uyb0RvYy54bWysVNuO2yAQfa/Uf0C8J77E2STWOqtVHFeV&#10;tt2Vtv0AgnGMioECibOt9t874CRNui9VVT/ggYHDnJkz3N4dOoH2zFiuZIGTcYwRk1TVXG4L/PVL&#10;NZpjZB2RNRFKsgK/MIvvlu/f3fY6Z6lqlaiZQQAibd7rArfO6TyKLG1ZR+xYaSbB2SjTEQdTs41q&#10;Q3pA70SUxvFN1CtTa6MosxZWy8GJlwG/aRh1j01jmUOiwBCbC6MJ48aP0fKW5FtDdMvpMQzyD1F0&#10;hEu49AxVEkfQzvA3UB2nRlnVuDFVXaSahlMWOACbJP6DzXNLNAtcIDlWn9Nk/x8s/bx/MojXBZ7P&#10;MJKkgxo97olA84nPTa9tDlue9ZPx7Kx+UPSbRVKtWiK37N4Y1beM1BBR4vdHVwf8xMJRtOk/qRqQ&#10;yc6pkKZDYzoPCAlAh1CNl3M12MEhCotJnM6yCRSNgi9Ns9kilCsi+em0NtZ9YKpD3igwE4Jr6xNG&#10;crJ/sM4HRPLTLr8sVcWFCEUXEvWAO5/OpuGEVYLX3huImu1mJQyCTBS4qmL4Aj1IweU2o3ayDmg+&#10;Ceuj7QgXgw23C+nxgBPEc7QGYfxcxIv1fD3PRll6sx5lcVmO7qtVNrqpktm0nJSrVZm8+tCSLG95&#10;XTPpozuJNMn+TgTHdhnkdZbpFQt7TbaC7y3Z6DqMkFlgdfoHdqH6vuCDcDaqfoHiGzV0HbwSYLTK&#10;/MCoh44rsP2+I4ZhJD5KENAiyTLfomGSTWcpTMylZ3PpIZICVIEdRoO5ckNb77Th2xZuSkJZpboH&#10;0TU8iMELcojqKFXoqsDg+AL4tr2ch12/36nlLwAAAP//AwBQSwMEFAAGAAgAAAAhALdqzbXfAAAA&#10;CAEAAA8AAABkcnMvZG93bnJldi54bWxMj0FPg0AUhO8m/ofNM/FmF4uVFlkaotGLicZqjMcH+woo&#10;+5awC0V/vduTHiczmfkm286mExMNrrWs4HIRgSCurG65VvD2en+xBuE8ssbOMin4Jgfb/PQkw1Tb&#10;A7/QtPO1CCXsUlTQeN+nUrqqIYNuYXvi4O3tYNAHOdRSD3gI5aaTyyi6lgZbDgsN9nTbUPW1G42C&#10;Yvp5wOf2sVyNdj1/7OVd8f70qdT52VzcgPA0+78wHPEDOuSBqbQjayc6BUmyugpRBfEGRPA3cbIE&#10;UR51DDLP5P8D+S8AAAD//wMAUEsBAi0AFAAGAAgAAAAhALaDOJL+AAAA4QEAABMAAAAAAAAAAAAA&#10;AAAAAAAAAFtDb250ZW50X1R5cGVzXS54bWxQSwECLQAUAAYACAAAACEAOP0h/9YAAACUAQAACwAA&#10;AAAAAAAAAAAAAAAvAQAAX3JlbHMvLnJlbHNQSwECLQAUAAYACAAAACEAb1Y5fnYCAADvBAAADgAA&#10;AAAAAAAAAAAAAAAuAgAAZHJzL2Uyb0RvYy54bWxQSwECLQAUAAYACAAAACEAt2rNtd8AAAAIAQAA&#10;DwAAAAAAAAAAAAAAAADQBAAAZHJzL2Rvd25yZXYueG1sUEsFBgAAAAAEAAQA8wAAANwFAAAAAA==&#10;" filled="f" strokecolor="red" strokeweight="2.25pt"/>
            </w:pict>
          </mc:Fallback>
        </mc:AlternateContent>
      </w:r>
      <w:r>
        <w:rPr>
          <w:rFonts w:asciiTheme="minorHAnsi" w:hAnsiTheme="minorHAnsi" w:cstheme="minorHAnsi"/>
          <w:noProof/>
          <w:szCs w:val="20"/>
          <w:lang w:eastAsia="fr-BE"/>
        </w:rPr>
        <w:drawing>
          <wp:inline distT="0" distB="0" distL="0" distR="0">
            <wp:extent cx="5747385" cy="1543685"/>
            <wp:effectExtent l="19050" t="19050" r="24765" b="18415"/>
            <wp:docPr id="21" name="Image 21" descr="Dossiers par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ossiers partag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47385" cy="1543685"/>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Pour cela, encodez le nombre d’éléments que vous souhaitez afficher dans la zone où est inscrit le nombre ‘10’ :</w:t>
      </w:r>
    </w:p>
    <w:p>
      <w:pPr>
        <w:spacing w:after="120" w:line="276" w:lineRule="auto"/>
        <w:jc w:val="center"/>
        <w:rPr>
          <w:rFonts w:asciiTheme="minorHAnsi" w:hAnsiTheme="minorHAnsi" w:cstheme="minorHAnsi"/>
          <w:sz w:val="20"/>
          <w:szCs w:val="20"/>
        </w:rPr>
      </w:pPr>
      <w:r>
        <w:rPr>
          <w:rFonts w:asciiTheme="minorHAnsi" w:hAnsiTheme="minorHAnsi" w:cstheme="minorHAnsi"/>
          <w:noProof/>
          <w:sz w:val="20"/>
          <w:szCs w:val="20"/>
          <w:lang w:eastAsia="fr-BE"/>
        </w:rPr>
        <w:drawing>
          <wp:inline distT="0" distB="0" distL="0" distR="0">
            <wp:extent cx="1249200" cy="338400"/>
            <wp:effectExtent l="19050" t="19050" r="8255" b="24130"/>
            <wp:docPr id="22" name="Image 22" descr="affichage 31 élé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ffichage 31 éléments"/>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49200" cy="33840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Tapez ensuite sur Enter.</w:t>
      </w:r>
    </w:p>
    <w:p>
      <w:pPr>
        <w:spacing w:line="276" w:lineRule="auto"/>
        <w:rPr>
          <w:rFonts w:asciiTheme="minorHAnsi" w:hAnsiTheme="minorHAnsi" w:cstheme="minorHAnsi"/>
          <w:sz w:val="20"/>
          <w:szCs w:val="20"/>
        </w:rPr>
      </w:pPr>
      <w:r>
        <w:rPr>
          <w:rFonts w:asciiTheme="minorHAnsi" w:hAnsiTheme="minorHAnsi" w:cstheme="minorHAnsi"/>
          <w:sz w:val="20"/>
          <w:szCs w:val="20"/>
        </w:rPr>
        <w:br w:type="page"/>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Vous constaterez que tous les dossiers s’affichent alors à l’écran :</w:t>
      </w:r>
    </w:p>
    <w:p>
      <w:pPr>
        <w:spacing w:after="120" w:line="276" w:lineRule="auto"/>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5753735" cy="2986405"/>
            <wp:effectExtent l="19050" t="19050" r="18415" b="23495"/>
            <wp:docPr id="23" name="Image 23" descr="affichage 31 dossi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ffichage 31 dossiers"/>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3735" cy="2986405"/>
                    </a:xfrm>
                    <a:prstGeom prst="rect">
                      <a:avLst/>
                    </a:prstGeom>
                    <a:noFill/>
                    <a:ln w="6350" cmpd="sng">
                      <a:solidFill>
                        <a:srgbClr val="000000"/>
                      </a:solidFill>
                      <a:miter lim="800000"/>
                      <a:headEnd/>
                      <a:tailEnd/>
                    </a:ln>
                    <a:effectLst/>
                  </pic:spPr>
                </pic:pic>
              </a:graphicData>
            </a:graphic>
          </wp:inline>
        </w:drawing>
      </w:r>
    </w:p>
    <w:p>
      <w:pPr>
        <w:pStyle w:val="Titre1"/>
        <w:keepNext w:val="0"/>
        <w:numPr>
          <w:ilvl w:val="0"/>
          <w:numId w:val="91"/>
        </w:numPr>
        <w:spacing w:after="240" w:line="276" w:lineRule="auto"/>
        <w:ind w:left="425" w:hanging="425"/>
        <w:jc w:val="both"/>
        <w:rPr>
          <w:rFonts w:asciiTheme="minorHAnsi" w:hAnsiTheme="minorHAnsi" w:cstheme="minorHAnsi"/>
          <w:bCs w:val="0"/>
          <w:sz w:val="28"/>
          <w:szCs w:val="28"/>
          <w:u w:val="single"/>
        </w:rPr>
      </w:pPr>
      <w:bookmarkStart w:id="24" w:name="_Toc440442407"/>
      <w:r>
        <w:rPr>
          <w:rFonts w:asciiTheme="minorHAnsi" w:hAnsiTheme="minorHAnsi" w:cstheme="minorHAnsi"/>
          <w:bCs w:val="0"/>
          <w:sz w:val="28"/>
          <w:szCs w:val="28"/>
          <w:u w:val="single"/>
        </w:rPr>
        <w:t>FONCTIONNALITÉS DU PARTAGE RESEAU</w:t>
      </w:r>
      <w:bookmarkEnd w:id="24"/>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Pour gérer votre dossier nominatif, les commandes pour effectuer les différentes actions possibles sont situées en haut à droite de votre écran :</w:t>
      </w:r>
    </w:p>
    <w:p>
      <w:pPr>
        <w:spacing w:after="120" w:line="276" w:lineRule="auto"/>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65408" behindDoc="0" locked="0" layoutInCell="1" allowOverlap="1">
                <wp:simplePos x="0" y="0"/>
                <wp:positionH relativeFrom="column">
                  <wp:posOffset>853084</wp:posOffset>
                </wp:positionH>
                <wp:positionV relativeFrom="paragraph">
                  <wp:posOffset>898423</wp:posOffset>
                </wp:positionV>
                <wp:extent cx="4739640" cy="381000"/>
                <wp:effectExtent l="22225" t="17145" r="19685" b="20955"/>
                <wp:wrapNone/>
                <wp:docPr id="86" name="Oval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39640" cy="3810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4" o:spid="_x0000_s1026" style="position:absolute;margin-left:67.15pt;margin-top:70.75pt;width:373.2pt;height:3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NlkdwIAAO8EAAAOAAAAZHJzL2Uyb0RvYy54bWysVF1v2yAUfZ+0/4B4T22nzpdVp6rieJrU&#10;rZW6/QACOEbDwIDE6ab+911wkjbbyzTND/jChcs995zLze2hk2jPrRNalTi7SjHiimom1LbEX7/U&#10;ozlGzhPFiNSKl/iZO3y7fP/upjcFH+tWS8YtgiDKFb0pceu9KZLE0ZZ3xF1pwxU4G2074mFqtwmz&#10;pIfonUzGaTpNem2ZsZpy52C1Gpx4GeM3Daf+oWkc90iWGHLzcbRx3IQxWd6QYmuJaQU9pkH+IYuO&#10;CAWXnkNVxBO0s+KPUJ2gVjvd+Cuqu0Q3jaA8YgA0WfobmqeWGB6xQHGcOZfJ/b+w9PP+0SLBSjyf&#10;YqRIBxw97IlEizzUpjeugC1P5tEGdM7ca/rNIaVXLVFbfmet7ltOGGSUhf3JxYEwcXAUbfpPmkFk&#10;svM6lunQ2C4EhAKgQ2Tj+cwGP3hEYTGfXS+mOZBGwXc9z9I00pWQ4nTaWOc/cN2hYJSYSymMCwUj&#10;BdnfOx8SIsVpV1hWuhZSRtKlQn2Jx/PJbBJPOC0FC94I1G43K2kRVKLEdQ1Xn+6+2Gb1TrEYLRRh&#10;fbQ9EXKw4XapQjzABPkcrUEYPxfpYj1fz/NRPp6uR3laVaO7epWPpnU2m1TX1WpVZS8htSwvWsEY&#10;VyG7k0iz/O9EcGyXQV5nmV6gcJdga/gil8D3a02SyzRiZQHV6R/RRfYD4YNwNpo9A/lWD10HrwQY&#10;rbY/MOqh40rsvu+I5RjJjwoEtMjywLaPk3wyG8PEvvVs3nqIohCqxB6jwVz5oa13xoptCzdlkVal&#10;70B0jYhiCIIcsjpKFboqIji+AKFt387jrtd3avkLAAD//wMAUEsDBBQABgAIAAAAIQAu/6m04AAA&#10;AAsBAAAPAAAAZHJzL2Rvd25yZXYueG1sTI/NTsQwDITvSLxDZCRubLJ/UJWmqwoEFyQQC0Ic3cbb&#10;FpqkatJu4ekxJ7h57NH4m2w3205MNITWOw3LhQJBrvKmdbWG15e7iwREiOgMdt6Rhi8KsMtPTzJM&#10;jT+6Z5r2sRYc4kKKGpoY+1TKUDVkMSx8T45vBz9YjCyHWpoBjxxuO7lS6lJabB1/aLCnm4aqz/1o&#10;NRTT9z0+tQ/ldvTJ/H6Qt8Xb44fW52dzcQ0i0hz/zPCLz+iQM1PpR2eC6FivN2u28rBZbkGwI0nU&#10;FYhSw0rxRuaZ/N8h/wEAAP//AwBQSwECLQAUAAYACAAAACEAtoM4kv4AAADhAQAAEwAAAAAAAAAA&#10;AAAAAAAAAAAAW0NvbnRlbnRfVHlwZXNdLnhtbFBLAQItABQABgAIAAAAIQA4/SH/1gAAAJQBAAAL&#10;AAAAAAAAAAAAAAAAAC8BAABfcmVscy8ucmVsc1BLAQItABQABgAIAAAAIQA2hNlkdwIAAO8EAAAO&#10;AAAAAAAAAAAAAAAAAC4CAABkcnMvZTJvRG9jLnhtbFBLAQItABQABgAIAAAAIQAu/6m04AAAAAsB&#10;AAAPAAAAAAAAAAAAAAAAANEEAABkcnMvZG93bnJldi54bWxQSwUGAAAAAAQABADzAAAA3gUAAAAA&#10;" filled="f" strokecolor="red" strokeweight="2.25pt"/>
            </w:pict>
          </mc:Fallback>
        </mc:AlternateContent>
      </w:r>
      <w:r>
        <w:rPr>
          <w:rFonts w:asciiTheme="minorHAnsi" w:hAnsiTheme="minorHAnsi" w:cstheme="minorHAnsi"/>
          <w:noProof/>
          <w:szCs w:val="20"/>
          <w:lang w:eastAsia="fr-BE"/>
        </w:rPr>
        <w:drawing>
          <wp:inline distT="0" distB="0" distL="0" distR="0">
            <wp:extent cx="5765165" cy="1389380"/>
            <wp:effectExtent l="19050" t="19050" r="26035" b="20320"/>
            <wp:docPr id="24" name="Image 24" descr="Fonctionnalit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onctionnalité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5165" cy="138938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Les principales actions dont vous aurez besoin et qui sont détaillées ci-après sont :</w:t>
      </w:r>
    </w:p>
    <w:p>
      <w:pPr>
        <w:numPr>
          <w:ilvl w:val="0"/>
          <w:numId w:val="61"/>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Créer un dossier </w:t>
      </w:r>
      <w:r>
        <w:rPr>
          <w:rFonts w:asciiTheme="minorHAnsi" w:hAnsiTheme="minorHAnsi" w:cstheme="minorHAnsi"/>
          <w:sz w:val="20"/>
          <w:szCs w:val="20"/>
        </w:rPr>
        <w:sym w:font="Wingdings" w:char="F0E0"/>
      </w:r>
      <w:r>
        <w:rPr>
          <w:rFonts w:asciiTheme="minorHAnsi" w:hAnsiTheme="minorHAnsi" w:cstheme="minorHAnsi"/>
          <w:sz w:val="20"/>
          <w:szCs w:val="20"/>
        </w:rPr>
        <w:t xml:space="preserve"> Créer un espace</w:t>
      </w:r>
    </w:p>
    <w:p>
      <w:pPr>
        <w:numPr>
          <w:ilvl w:val="0"/>
          <w:numId w:val="61"/>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Ajouter des fichiers </w:t>
      </w:r>
      <w:r>
        <w:rPr>
          <w:rFonts w:asciiTheme="minorHAnsi" w:hAnsiTheme="minorHAnsi" w:cstheme="minorHAnsi"/>
          <w:sz w:val="20"/>
          <w:szCs w:val="20"/>
        </w:rPr>
        <w:sym w:font="Wingdings" w:char="F0E0"/>
      </w:r>
      <w:r>
        <w:rPr>
          <w:rFonts w:asciiTheme="minorHAnsi" w:hAnsiTheme="minorHAnsi" w:cstheme="minorHAnsi"/>
          <w:sz w:val="20"/>
          <w:szCs w:val="20"/>
        </w:rPr>
        <w:t xml:space="preserve"> Ajouter un contenu</w:t>
      </w:r>
    </w:p>
    <w:p>
      <w:pPr>
        <w:numPr>
          <w:ilvl w:val="0"/>
          <w:numId w:val="61"/>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Changer le nom d’un dossier</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Navigation</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Il existe différents moyens pour naviguer à l’intérieur du partage :</w:t>
      </w:r>
    </w:p>
    <w:p>
      <w:pPr>
        <w:numPr>
          <w:ilvl w:val="0"/>
          <w:numId w:val="60"/>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Comme expliqué au point 4.3., vous pouvez utiliser les flèches de navigation situées en-dessous de la liste des dossiers pour naviguer d’une page à l’autre du formulaire.</w:t>
      </w:r>
    </w:p>
    <w:p>
      <w:pPr>
        <w:spacing w:after="120" w:line="276" w:lineRule="auto"/>
        <w:rPr>
          <w:rFonts w:asciiTheme="minorHAnsi" w:hAnsiTheme="minorHAnsi" w:cstheme="minorHAnsi"/>
          <w:szCs w:val="20"/>
        </w:rPr>
      </w:pPr>
      <w:r>
        <w:rPr>
          <w:rFonts w:asciiTheme="minorHAnsi" w:hAnsiTheme="minorHAnsi" w:cstheme="minorHAnsi"/>
          <w:noProof/>
          <w:szCs w:val="20"/>
          <w:lang w:eastAsia="fr-BE"/>
        </w:rPr>
        <w:lastRenderedPageBreak/>
        <mc:AlternateContent>
          <mc:Choice Requires="wpg">
            <w:drawing>
              <wp:anchor distT="0" distB="0" distL="114300" distR="114300" simplePos="0" relativeHeight="251657216" behindDoc="0" locked="0" layoutInCell="1" allowOverlap="1">
                <wp:simplePos x="0" y="0"/>
                <wp:positionH relativeFrom="column">
                  <wp:posOffset>2125980</wp:posOffset>
                </wp:positionH>
                <wp:positionV relativeFrom="paragraph">
                  <wp:posOffset>1310005</wp:posOffset>
                </wp:positionV>
                <wp:extent cx="1560830" cy="821690"/>
                <wp:effectExtent l="15875" t="19050" r="23495" b="64135"/>
                <wp:wrapNone/>
                <wp:docPr id="83" name="Group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60830" cy="821690"/>
                          <a:chOff x="4766" y="9298"/>
                          <a:chExt cx="2458" cy="1294"/>
                        </a:xfrm>
                      </wpg:grpSpPr>
                      <wps:wsp>
                        <wps:cNvPr id="84" name="Line 85"/>
                        <wps:cNvCnPr>
                          <a:cxnSpLocks noChangeShapeType="1"/>
                        </wps:cNvCnPr>
                        <wps:spPr bwMode="auto">
                          <a:xfrm flipH="1">
                            <a:off x="5844" y="10018"/>
                            <a:ext cx="132" cy="574"/>
                          </a:xfrm>
                          <a:prstGeom prst="line">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5" name="Oval 86"/>
                        <wps:cNvSpPr>
                          <a:spLocks noChangeArrowheads="1"/>
                        </wps:cNvSpPr>
                        <wps:spPr bwMode="auto">
                          <a:xfrm>
                            <a:off x="4766" y="9298"/>
                            <a:ext cx="2458" cy="63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4" o:spid="_x0000_s1026" style="position:absolute;margin-left:167.4pt;margin-top:103.15pt;width:122.9pt;height:64.7pt;z-index:251657216" coordorigin="4766,9298" coordsize="2458,1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WjPZQMAABkJAAAOAAAAZHJzL2Uyb0RvYy54bWzMVttu2zgQfV9g/4Hgu6NLJFkWohSBL9kF&#10;0m2Ath9AS5RElCJVko6cLfrvOyRlx3GLok3RYv0gDzWc4cyZM0Ndvdr3HD1QpZkUJY4uQoyoqGTN&#10;RFvi9+82sxwjbYioCZeClviRavzq+s8/rsahoLHsJK+pQuBE6GIcStwZMxRBoKuO9kRfyIEKUDZS&#10;9cTAUrVBrcgI3nsexGGYBaNU9aBkRbWGtyuvxNfOf9PQyrxpGk0N4iWG2Ix7Kvfc2mdwfUWKVpGh&#10;Y9UUBnlBFD1hAg49uloRQ9BOsS9c9axSUsvGXFSyD2TTsIq6HCCbKDzL5lbJ3eByaYuxHY4wAbRn&#10;OL3YbfXPw71CrC5xfomRID3UyB2L8sSCMw5tAXtu1fB2uFc+QxDvZPVBgzo419t16zej7fha1uCP&#10;7Ix04Owb1VsXkDbauxo8HmtA9wZV8DJKszC/hFJVoMvjKFtMRao6qKQ1S+ZZhhFoF/Ei9wWsuvVk&#10;HicpMM7aRvHCZRCQwp/rYp1is4kB4fQTpvrnMH3bkYG6UmmL1wHT5IDpHRMU5amH1G1ZCo9ntRcT&#10;nkjIZUdES52zd48DYBdZC4j8xMQuNBTj6/iihrPhL2t4gnSaJxCJBSUMowmzI+CXsQcsnT/HixSD&#10;0uaWyh5ZocQccnBeycOdNjaupy32MCE3jHN4Twou0FjidB6lobPQkrPaaq1Sq3a75Ao9EGjKzSaE&#10;n8sSNKfbgPyidt46Sur1JBvCOMjIOHiMYgAYp9ge19MaI05hDlnJx8eFPRFyhYgnyfflp0W4WOfr&#10;PJklcbaeJeFqNbvZLJNZtonm6epytVyuos82+CgpOlbXVNj4DzMiSr6PL9O08t19nBJHpILn3h2k&#10;EOzh3wXtqm8L7km7lfXjvbLZTRT+XVxOD1x+A4VDeWYRnoh5mA3aD4YjkW+UkqOtHnTXMyZ7g28z&#10;2ZZrmhRfafkDfZ8aPoOp4Yt+mDNn/KUcWkP/GIXjPJ2nv4bC/2eCPmvEs37dwG8C+mTbi5mMlPS3&#10;MnxFgNBJ9S90M9zIJdYfd0RBb/O/BRBoESWJvcLdIknnMSzUqWZ7qiGiAlclNhh5cWn8tb8bFGs7&#10;OMlPSCFv4HpqmJtnlpC+v07by10ccP+6rpy+FewFf7p2+5++aK7/AwAA//8DAFBLAwQUAAYACAAA&#10;ACEAGTJoKuEAAAALAQAADwAAAGRycy9kb3ducmV2LnhtbEyPQWvCQBSE74X+h+UVequ7MU0qMRsR&#10;aXuSQrVQvD2zzySY3Q3ZNYn/vuupHocZZr7JV5Nu2UC9a6yREM0EMDKlVY2pJPzsP14WwJxHo7C1&#10;hiRcycGqeHzIMVN2NN807HzFQolxGUqove8yzl1Zk0Y3sx2Z4J1sr9EH2Vdc9TiGct3yuRAp19iY&#10;sFBjR5uayvPuoiV8jjiu4+h92J5Pm+thn3z9biOS8vlpWi+BeZr8fxhu+AEdisB0tBejHGslxPFr&#10;QPcS5iKNgYVEshApsOPNSt6AFzm//1D8AQAA//8DAFBLAQItABQABgAIAAAAIQC2gziS/gAAAOEB&#10;AAATAAAAAAAAAAAAAAAAAAAAAABbQ29udGVudF9UeXBlc10ueG1sUEsBAi0AFAAGAAgAAAAhADj9&#10;If/WAAAAlAEAAAsAAAAAAAAAAAAAAAAALwEAAF9yZWxzLy5yZWxzUEsBAi0AFAAGAAgAAAAhANnR&#10;aM9lAwAAGQkAAA4AAAAAAAAAAAAAAAAALgIAAGRycy9lMm9Eb2MueG1sUEsBAi0AFAAGAAgAAAAh&#10;ABkyaCrhAAAACwEAAA8AAAAAAAAAAAAAAAAAvwUAAGRycy9kb3ducmV2LnhtbFBLBQYAAAAABAAE&#10;APMAAADNBgAAAAA=&#10;">
                <v:line id="Line 85" o:spid="_x0000_s1027" style="position:absolute;flip:x;visibility:visible;mso-wrap-style:square" from="5844,10018" to="5976,10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wNrMQAAADbAAAADwAAAGRycy9kb3ducmV2LnhtbESPUUsDMRCE3wX/Q1ihbzZnqaWcTYsc&#10;LVUEodUfsFzWy+llc0227dVfbwTBx2FmvmEWq8F36kQxtYEN3I0LUMR1sC03Bt7fNrdzUEmQLXaB&#10;ycCFEqyW11cLLG04845Oe2lUhnAq0YAT6UutU+3IYxqHnjh7HyF6lCxjo23Ec4b7Tk+KYqY9tpwX&#10;HPZUOaq/9kdvYKj4fnuR17V8dy/V8yG5zzjbGTO6GR4fQAkN8h/+az9ZA/Mp/H7JP0Av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HA2sxAAAANsAAAAPAAAAAAAAAAAA&#10;AAAAAKECAABkcnMvZG93bnJldi54bWxQSwUGAAAAAAQABAD5AAAAkgMAAAAA&#10;" strokecolor="red" strokeweight="4.5pt">
                  <v:stroke endarrow="block"/>
                </v:line>
                <v:oval id="Oval 86" o:spid="_x0000_s1028" style="position:absolute;left:4766;top:9298;width:2458;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kHq8UA&#10;AADbAAAADwAAAGRycy9kb3ducmV2LnhtbESP3WrCQBSE74W+w3IKvdNNBSVENxJaFKFg0Zbi5Wn2&#10;5KfNng3ZNUaf3i0IvRxm5htmuRpMI3rqXG1ZwfMkAkGcW11zqeDzYz2OQTiPrLGxTAou5GCVPoyW&#10;mGh75j31B1+KAGGXoILK+zaR0uUVGXQT2xIHr7CdQR9kV0rd4TnATSOnUTSXBmsOCxW29FJR/ns4&#10;GQVZf93ge/32PTvZeDgW8jX72v0o9fQ4ZAsQngb/H763t1pBPIO/L+EHy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QerxQAAANsAAAAPAAAAAAAAAAAAAAAAAJgCAABkcnMv&#10;ZG93bnJldi54bWxQSwUGAAAAAAQABAD1AAAAigMAAAAA&#10;" filled="f" strokecolor="red" strokeweight="2.25pt"/>
              </v:group>
            </w:pict>
          </mc:Fallback>
        </mc:AlternateContent>
      </w:r>
      <w:r>
        <w:rPr>
          <w:rFonts w:asciiTheme="minorHAnsi" w:hAnsiTheme="minorHAnsi" w:cstheme="minorHAnsi"/>
          <w:noProof/>
          <w:szCs w:val="20"/>
          <w:lang w:eastAsia="fr-BE"/>
        </w:rPr>
        <w:drawing>
          <wp:inline distT="0" distB="0" distL="0" distR="0">
            <wp:extent cx="5747385" cy="1543685"/>
            <wp:effectExtent l="19050" t="19050" r="24765" b="18415"/>
            <wp:docPr id="25" name="Image 25" descr="Dossiers par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ossiers partag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47385" cy="1543685"/>
                    </a:xfrm>
                    <a:prstGeom prst="rect">
                      <a:avLst/>
                    </a:prstGeom>
                    <a:noFill/>
                    <a:ln w="6350" cmpd="sng">
                      <a:solidFill>
                        <a:srgbClr val="000000"/>
                      </a:solidFill>
                      <a:miter lim="800000"/>
                      <a:headEnd/>
                      <a:tailEnd/>
                    </a:ln>
                    <a:effectLst/>
                  </pic:spPr>
                </pic:pic>
              </a:graphicData>
            </a:graphic>
          </wp:inline>
        </w:drawing>
      </w:r>
    </w:p>
    <w:p>
      <w:pPr>
        <w:spacing w:after="120" w:line="276" w:lineRule="auto"/>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58240" behindDoc="0" locked="0" layoutInCell="1" allowOverlap="1">
                <wp:simplePos x="0" y="0"/>
                <wp:positionH relativeFrom="column">
                  <wp:posOffset>4002380</wp:posOffset>
                </wp:positionH>
                <wp:positionV relativeFrom="paragraph">
                  <wp:posOffset>293269</wp:posOffset>
                </wp:positionV>
                <wp:extent cx="576580" cy="514985"/>
                <wp:effectExtent l="20955" t="14605" r="21590" b="22860"/>
                <wp:wrapNone/>
                <wp:docPr id="82" name="Oval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580" cy="51498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7" o:spid="_x0000_s1026" style="position:absolute;margin-left:315.15pt;margin-top:23.1pt;width:45.4pt;height:40.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h+zcwIAAO4EAAAOAAAAZHJzL2Uyb0RvYy54bWysVMGO2yAQvVfqPyDuie3UThxrndUqjqtK&#10;2+5K234AsXGMioECiZNW/fcO2EmT7qWq6gMeGHjMm3nD3f2x4+hAtWFS5DiahhhRUcmaiV2Ov3wu&#10;JylGxhJREy4FzfGJGny/evvmrlcZnclW8ppqBCDCZL3KcWutyoLAVC3tiJlKRQU4G6k7YmGqd0Gt&#10;SQ/oHQ9mYTgPeqlrpWVFjYHVYnDilcdvGlrZp6Yx1CKeY4jN+lH7cevGYHVHsp0mqmXVGAb5hyg6&#10;wgRceoEqiCVor9krqI5VWhrZ2Gklu0A2Dauo5wBsovAPNi8tUdRzgeQYdUmT+X+w1afDs0asznE6&#10;w0iQDmr0dCAcpQuXm16ZDLa8qGft2Bn1KKuvBgm5bonY0QetZd9SUkNEkdsf3BxwEwNH0bb/KGtA&#10;JnsrfZqOje4cICQAHX01Tpdq0KNFFSwmi3mSQs0qcCVRvEwTfwPJzoeVNvY9lR1yRo4p50wZly+S&#10;kcOjsS4ekp13uWUhS8a5rzkXqM/xLE0WiT9hJGe183qeerddc40gETkuyxC+8e6bbVruRe3RXA42&#10;o20J44MNt3Ph8IASxDNagy5+LMPlJt2k8SSezTeTOCyKyUO5jifzMlokxbtivS6iny60KM5aVtdU&#10;uOjOGo3iv9PA2C2Dui4qvWFhbsmW8L0mG9yG4TMLrM5/z84X39V70M1W1ieovZZD08EjAUYr9XeM&#10;emi4HJtve6IpRvyDAP0sozh2HeoncbKYwURfe7bXHiIqgMqxxWgw13bo6r3SbNfCTZEvq5APoLmG&#10;eTE4PQ5RjUqFpvIMxgfAde313O/6/UytfgEAAP//AwBQSwMEFAAGAAgAAAAhAMpIoYfhAAAACgEA&#10;AA8AAABkcnMvZG93bnJldi54bWxMj01Pg0AQhu8m/ofNmHizy4fSBlkaotGLicZqmh4H2ALKzhJ2&#10;oeivdzzpcfI+ed9nsu1iejHr0XWWFISrAISmytYdNQre3x6uNiCcR6qxt6QVfGkH2/z8LMO0tid6&#10;1fPON4JLyKWooPV+SKV0VasNupUdNHF2tKNBz+fYyHrEE5ebXkZBkEiDHfFCi4O+a3X1uZuMgmL+&#10;fsSX7qm8mexmORzlfbF//lDq8mIpbkF4vfg/GH71WR1ydirtRLUTvYIkDmJGFVwnEQgG1lEYgiiZ&#10;jNYxyDyT/1/IfwAAAP//AwBQSwECLQAUAAYACAAAACEAtoM4kv4AAADhAQAAEwAAAAAAAAAAAAAA&#10;AAAAAAAAW0NvbnRlbnRfVHlwZXNdLnhtbFBLAQItABQABgAIAAAAIQA4/SH/1gAAAJQBAAALAAAA&#10;AAAAAAAAAAAAAC8BAABfcmVscy8ucmVsc1BLAQItABQABgAIAAAAIQC8xh+zcwIAAO4EAAAOAAAA&#10;AAAAAAAAAAAAAC4CAABkcnMvZTJvRG9jLnhtbFBLAQItABQABgAIAAAAIQDKSKGH4QAAAAoBAAAP&#10;AAAAAAAAAAAAAAAAAM0EAABkcnMvZG93bnJldi54bWxQSwUGAAAAAAQABADzAAAA2wUAAAAA&#10;" filled="f" strokecolor="red" strokeweight="2.25pt"/>
            </w:pict>
          </mc:Fallback>
        </mc:AlternateConten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3408045" cy="320675"/>
            <wp:effectExtent l="19050" t="19050" r="20955" b="22225"/>
            <wp:docPr id="26" name="Image 26" descr="navig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avigatio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08045" cy="320675"/>
                    </a:xfrm>
                    <a:prstGeom prst="rect">
                      <a:avLst/>
                    </a:prstGeom>
                    <a:noFill/>
                    <a:ln w="6350" cmpd="sng">
                      <a:solidFill>
                        <a:srgbClr val="000000"/>
                      </a:solidFill>
                      <a:miter lim="800000"/>
                      <a:headEnd/>
                      <a:tailEnd/>
                    </a:ln>
                    <a:effectLst/>
                  </pic:spPr>
                </pic:pic>
              </a:graphicData>
            </a:graphic>
          </wp:inline>
        </w:drawing>
      </w:r>
    </w:p>
    <w:p>
      <w:pPr>
        <w:numPr>
          <w:ilvl w:val="0"/>
          <w:numId w:val="60"/>
        </w:numPr>
        <w:spacing w:before="240" w:after="120" w:line="276" w:lineRule="auto"/>
        <w:jc w:val="both"/>
        <w:rPr>
          <w:rFonts w:asciiTheme="minorHAnsi" w:hAnsiTheme="minorHAnsi" w:cstheme="minorHAnsi"/>
          <w:sz w:val="20"/>
          <w:szCs w:val="20"/>
        </w:rPr>
      </w:pPr>
      <w:r>
        <w:rPr>
          <w:rFonts w:asciiTheme="minorHAnsi" w:hAnsiTheme="minorHAnsi" w:cstheme="minorHAnsi"/>
          <w:sz w:val="20"/>
          <w:szCs w:val="20"/>
        </w:rPr>
        <w:t>Vous pouvez également augmenter le nombre d’éléments qui s’affichent à l’écran, comme expliqué au point 4.3.</w:t>
      </w:r>
    </w:p>
    <w:p>
      <w:pPr>
        <w:spacing w:after="120" w:line="276" w:lineRule="auto"/>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59264" behindDoc="0" locked="0" layoutInCell="1" allowOverlap="1">
                <wp:simplePos x="0" y="0"/>
                <wp:positionH relativeFrom="column">
                  <wp:posOffset>4938369</wp:posOffset>
                </wp:positionH>
                <wp:positionV relativeFrom="paragraph">
                  <wp:posOffset>25044</wp:posOffset>
                </wp:positionV>
                <wp:extent cx="1027430" cy="224790"/>
                <wp:effectExtent l="23495" t="14605" r="15875" b="17780"/>
                <wp:wrapNone/>
                <wp:docPr id="81" name="Oval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7430" cy="22479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8" o:spid="_x0000_s1026" style="position:absolute;margin-left:388.85pt;margin-top:1.95pt;width:80.9pt;height:17.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wnidQIAAO8EAAAOAAAAZHJzL2Uyb0RvYy54bWysVF1v2yAUfZ+0/4B4T/1Rp3GsOlUVx9Ok&#10;bq3U7QcQg2M0DAxInG7qf98FJ1myvkzT/IAvXDjcc++53N7te4F2zFiuZImTqxgjJhtFudyU+OuX&#10;epJjZB2RlAglWYlfmMV3i/fvbgddsFR1SlBmEIBIWwy6xJ1zuogi23SsJ/ZKaSbB2SrTEwdTs4mo&#10;IQOg9yJK4/gmGpSh2qiGWQur1ejEi4Dftqxxj21rmUOixBCbC6MJ49qP0eKWFBtDdMebQxjkH6Lo&#10;CZdw6QmqIo6greFvoHreGGVV664a1UeqbXnDAgdgk8R/sHnuiGaBCyTH6lOa7P+DbT7vngzitMR5&#10;gpEkPdTocUcEynOfm0HbArY86yfj2Vn9oJpvFkm17IjcsHtj1NAxQiGixO+PLg74iYWjaD18UhSQ&#10;ydapkKZ9a3oPCAlA+1CNl1M12N6hBhaTOJ1l11C0Bnxpms3moVwRKY6ntbHuA1M98kaJmRBcW58w&#10;UpDdg3U+IFIcd/llqWouRCi6kGgA3Hw6m4YTVglOvTcQNZv1UhgEmShxXcfwBXqQgvNtRm0lDWg+&#10;CauD7QgXow23C+nxgBPEc7BGYfycx/NVvsqzSZberCZZXFWT+3qZTW7qZDatrqvlskpefWhJVnSc&#10;UiZ9dEeRJtnfieDQLqO8TjK9YGEvydbwvSUbXYYRMgusjv/ALlTfF3wUzlrRFyi+UWPXwSsBRqfM&#10;D4wG6LgS2+9bYhhG4qMEAc2TLPMtGibZdJbCxJx71uceIhuAKrHDaDSXbmzrrTZ808FNSSirVPcg&#10;upYHMXhBjlEdpApdFRgcXgDftufzsOv3O7X4BQAA//8DAFBLAwQUAAYACAAAACEAXqFv8t4AAAAI&#10;AQAADwAAAGRycy9kb3ducmV2LnhtbEyPQU+DQBCF7yb+h82YeLOLkmpBloZo9GJiY20ajwO7BZSd&#10;JexC0V/v9KRze3kvb76XrWfbickMvnWk4HoRgTBUOd1SrWD3/nS1AuEDksbOkVHwbTys8/OzDFPt&#10;jvRmpm2oBZeQT1FBE0KfSumrxlj0C9cbYu/gBouB5VBLPeCRy20nb6LoVlpsiT802JuHxlRf29Eq&#10;KKafZ9y0L+VydKv54yAfi/3rp1KXF3NxDyKYOfyF4YTP6JAzU+lG0l50Cu74OKogTkCwn8TJEkR5&#10;0jHIPJP/B+S/AAAA//8DAFBLAQItABQABgAIAAAAIQC2gziS/gAAAOEBAAATAAAAAAAAAAAAAAAA&#10;AAAAAABbQ29udGVudF9UeXBlc10ueG1sUEsBAi0AFAAGAAgAAAAhADj9If/WAAAAlAEAAAsAAAAA&#10;AAAAAAAAAAAALwEAAF9yZWxzLy5yZWxzUEsBAi0AFAAGAAgAAAAhACtfCeJ1AgAA7wQAAA4AAAAA&#10;AAAAAAAAAAAALgIAAGRycy9lMm9Eb2MueG1sUEsBAi0AFAAGAAgAAAAhAF6hb/LeAAAACAEAAA8A&#10;AAAAAAAAAAAAAAAAzwQAAGRycy9kb3ducmV2LnhtbFBLBQYAAAAABAAEAPMAAADaBQAAAAA=&#10;" filled="f" strokecolor="red" strokeweight="2.25pt"/>
            </w:pict>
          </mc:Fallback>
        </mc:AlternateContent>
      </w:r>
      <w:r>
        <w:rPr>
          <w:rFonts w:asciiTheme="minorHAnsi" w:hAnsiTheme="minorHAnsi" w:cstheme="minorHAnsi"/>
          <w:noProof/>
          <w:szCs w:val="20"/>
          <w:lang w:eastAsia="fr-BE"/>
        </w:rPr>
        <w:drawing>
          <wp:inline distT="0" distB="0" distL="0" distR="0">
            <wp:extent cx="5747385" cy="1543685"/>
            <wp:effectExtent l="19050" t="19050" r="24765" b="18415"/>
            <wp:docPr id="27" name="Image 27" descr="Dossiers par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ossiers partag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47385" cy="1543685"/>
                    </a:xfrm>
                    <a:prstGeom prst="rect">
                      <a:avLst/>
                    </a:prstGeom>
                    <a:noFill/>
                    <a:ln w="6350" cmpd="sng">
                      <a:solidFill>
                        <a:srgbClr val="000000"/>
                      </a:solidFill>
                      <a:miter lim="800000"/>
                      <a:headEnd/>
                      <a:tailEnd/>
                    </a:ln>
                    <a:effectLst/>
                  </pic:spPr>
                </pic:pic>
              </a:graphicData>
            </a:graphic>
          </wp:inline>
        </w:drawing>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Revenir en arrière quand on est dans un dossier</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Lorsque vous parcourez les dossiers et que vous avancez de plus en plus dans l’arborescence du partage, il vous faudra à un moment revenir en arrière pour revenir à la page d’accueil. Néanmoins, si vous utilisez les flèches du navigateur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60288" behindDoc="0" locked="0" layoutInCell="1" allowOverlap="1">
                <wp:simplePos x="0" y="0"/>
                <wp:positionH relativeFrom="column">
                  <wp:posOffset>1261211</wp:posOffset>
                </wp:positionH>
                <wp:positionV relativeFrom="paragraph">
                  <wp:posOffset>272314</wp:posOffset>
                </wp:positionV>
                <wp:extent cx="612140" cy="588010"/>
                <wp:effectExtent l="22225" t="22860" r="22860" b="17780"/>
                <wp:wrapNone/>
                <wp:docPr id="80" name="Oval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140" cy="58801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9" o:spid="_x0000_s1026" style="position:absolute;margin-left:99.3pt;margin-top:21.45pt;width:48.2pt;height:46.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77NcgIAAO4EAAAOAAAAZHJzL2Uyb0RvYy54bWysVMGO2yAQvVfqPyDuWdupk3WsOKtVHFeV&#10;tt2Vtv0AgnGMioECibOt+u8dsJMm3UtV1Qc8MPCY92aG5d2xE+jAjOVKFji5iTFikqqay12Bv3yu&#10;JhlG1hFZE6EkK/ALs/hu9fbNstc5m6pWiZoZBCDS5r0ucOuczqPI0pZ1xN4ozSQ4G2U64mBqdlFt&#10;SA/onYimcTyPemVqbRRl1sJqOTjxKuA3DaPusWksc0gUGGJzYTRh3PoxWi1JvjNEt5yOYZB/iKIj&#10;XMKlZ6iSOIL2hr+C6jg1yqrG3VDVRappOGWBA7BJ4j/YPLdEs8AFxLH6LJP9f7D00+HJIF4XOAN5&#10;JOkgR48HIlC28Nr02uaw5Vk/Gc/O6gdFv1ok1bolcsfujVF9y0gNESV+f3R1wE8sHEXb/qOqAZns&#10;nQoyHRvTeUAQAB1DNl7O2WBHhygszpNpkkJQFFyzLAN5wg0kPx3Wxrr3THXIGwVmQnBtvV4kJ4cH&#10;63w8JD/t8stSVVyIkHMhUV/gaTa7nYUTVglee2/gaXbbtTAIhChwVcXwjXdfbTNqL+uA5jXYjLYj&#10;XAw23C6kxwNKEM9oDXXxYxEvNtkmSyfpdL6ZpHFZTu6rdTqZV8ntrHxXrtdl8tOHlqR5y+uaSR/d&#10;qUaT9O9qYOyWobrOVXrFwl6TreB7TTa6DiMoC6xO/8AuJN/ne6ibrapfIPdGDU0HjwQYrTLfMeqh&#10;4Qpsv+2JYRiJDxLqZ5GkPtsuTNLZ7RQm5tKzvfQQSQGqwA6jwVy7oav32vBdCzclIa1S3UPNNTwU&#10;g6/HIaqxUqGpAoPxAfBdezkPu34/U6tfAAAA//8DAFBLAwQUAAYACAAAACEAD6JUGt8AAAAKAQAA&#10;DwAAAGRycy9kb3ducmV2LnhtbEyPQU+DQBSE7yb+h80z8WYXURpAloZo9GJiY20ajw94BZTdJexC&#10;0V/v86THyUxmvsk2i+7FTKPrrFFwvQpAkKls3ZlGwf7t8SoG4TyaGntrSMEXOdjk52cZprU9mVea&#10;d74RXGJcigpa74dUSle1pNGt7ECGvaMdNXqWYyPrEU9crnsZBsFaauwML7Q40H1L1edu0gqK+fsJ&#10;t91zGU02Xt6P8qE4vHwodXmxFHcgPC3+Lwy/+IwOOTOVdjK1Ez3rJF5zVMFtmIDgQJhEfK5k5yaK&#10;QOaZ/H8h/wEAAP//AwBQSwECLQAUAAYACAAAACEAtoM4kv4AAADhAQAAEwAAAAAAAAAAAAAAAAAA&#10;AAAAW0NvbnRlbnRfVHlwZXNdLnhtbFBLAQItABQABgAIAAAAIQA4/SH/1gAAAJQBAAALAAAAAAAA&#10;AAAAAAAAAC8BAABfcmVscy8ucmVsc1BLAQItABQABgAIAAAAIQD3x77NcgIAAO4EAAAOAAAAAAAA&#10;AAAAAAAAAC4CAABkcnMvZTJvRG9jLnhtbFBLAQItABQABgAIAAAAIQAPolQa3wAAAAoBAAAPAAAA&#10;AAAAAAAAAAAAAMwEAABkcnMvZG93bnJldi54bWxQSwUGAAAAAAQABADzAAAA2AUAAAAA&#10;" filled="f" strokecolor="red" strokeweight="2.25pt"/>
            </w:pict>
          </mc:Fallback>
        </mc:AlternateContent>
      </w:r>
      <w:r>
        <w:rPr>
          <w:rFonts w:asciiTheme="minorHAnsi" w:hAnsiTheme="minorHAnsi" w:cstheme="minorHAnsi"/>
          <w:noProof/>
          <w:szCs w:val="20"/>
          <w:lang w:eastAsia="fr-BE"/>
        </w:rPr>
        <w:drawing>
          <wp:inline distT="0" distB="0" distL="0" distR="0">
            <wp:extent cx="3016250" cy="1371600"/>
            <wp:effectExtent l="19050" t="19050" r="12700" b="19050"/>
            <wp:docPr id="28" name="Image 28" descr="Flèches naviga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lèches navigateu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16250" cy="1371600"/>
                    </a:xfrm>
                    <a:prstGeom prst="rect">
                      <a:avLst/>
                    </a:prstGeom>
                    <a:noFill/>
                    <a:ln w="6350" cmpd="sng">
                      <a:solidFill>
                        <a:srgbClr val="000000"/>
                      </a:solidFill>
                      <a:miter lim="800000"/>
                      <a:headEnd/>
                      <a:tailEnd/>
                    </a:ln>
                    <a:effectLst/>
                  </pic:spPr>
                </pic:pic>
              </a:graphicData>
            </a:graphic>
          </wp:inline>
        </w:drawing>
      </w:r>
    </w:p>
    <w:p>
      <w:pPr>
        <w:spacing w:line="276" w:lineRule="auto"/>
        <w:rPr>
          <w:rFonts w:asciiTheme="minorHAnsi" w:hAnsiTheme="minorHAnsi" w:cstheme="minorHAnsi"/>
          <w:sz w:val="22"/>
          <w:szCs w:val="22"/>
        </w:rPr>
      </w:pPr>
      <w:r>
        <w:rPr>
          <w:rFonts w:asciiTheme="minorHAnsi" w:hAnsiTheme="minorHAnsi" w:cstheme="minorHAnsi"/>
          <w:sz w:val="22"/>
          <w:szCs w:val="22"/>
        </w:rPr>
        <w:br w:type="page"/>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 xml:space="preserve">Vous obtiendrez ceci :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2980690" cy="1247140"/>
            <wp:effectExtent l="19050" t="19050" r="10160" b="10160"/>
            <wp:docPr id="29" name="Image 29" descr="confirmer env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onfirmer envoi"/>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80690" cy="124714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Ou encore cela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2980690" cy="1389380"/>
            <wp:effectExtent l="19050" t="19050" r="10160" b="20320"/>
            <wp:docPr id="30" name="Image 30" descr="document expir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ocument expiré"/>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80690" cy="138938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noProof/>
          <w:szCs w:val="20"/>
          <w:lang w:eastAsia="fr-BE"/>
        </w:rPr>
        <mc:AlternateContent>
          <mc:Choice Requires="wps">
            <w:drawing>
              <wp:anchor distT="0" distB="0" distL="114300" distR="114300" simplePos="0" relativeHeight="251662336" behindDoc="0" locked="0" layoutInCell="1" allowOverlap="1">
                <wp:simplePos x="0" y="0"/>
                <wp:positionH relativeFrom="column">
                  <wp:posOffset>2012848</wp:posOffset>
                </wp:positionH>
                <wp:positionV relativeFrom="paragraph">
                  <wp:posOffset>175641</wp:posOffset>
                </wp:positionV>
                <wp:extent cx="822960" cy="419100"/>
                <wp:effectExtent l="37465" t="33020" r="82550" b="119380"/>
                <wp:wrapNone/>
                <wp:docPr id="79" name="Lin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419100"/>
                        </a:xfrm>
                        <a:prstGeom prst="line">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1"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5pt,13.85pt" to="223.3pt,4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qJ/MQIAAFEEAAAOAAAAZHJzL2Uyb0RvYy54bWysVMuu2jAQ3VfqP1jeQxIauCQiXFUJdENb&#10;pHv7AcZ2iFXHtmxDQFX/vWPzaGk3VdUsnHE8c+bMmXEWz6deoiO3TmhV4WycYsQV1UyofYW/vK5H&#10;c4ycJ4oRqRWv8Jk7/Lx8+2YxmJJPdKcl4xYBiHLlYCrceW/KJHG04z1xY224gsNW25542Np9wiwZ&#10;AL2XySRNZ8mgLTNWU+4cfG0uh3gZ8duWU/+5bR33SFYYuPm42rjuwposF6TcW2I6Qa80yD+w6IlQ&#10;kPQO1RBP0MGKP6B6Qa12uvVjqvtEt62gPNYA1WTpb9W8dMTwWAuI48xdJvf/YOmn49YiwSr8VGCk&#10;SA892gjFUZEFbQbjSnCp1daG6uhJvZiNpl8dUrruiNrzyPH1bCAuRiQPIWHjDGTYDR81Ax9y8DoK&#10;dWptHyBBAnSK/Tjf+8FPHlH4OJ9Mihl0jcJRnhVZGvuVkPIWbKzzH7juUTAqLIF4BCfHjfNAH1xv&#10;LiGX0mshZWy5VGio8PQpm6YxwmkpWDgNfs7ud7W06EhgatbrFJ4gBqA9uFl9UCyidZyw1dX2REiw&#10;kY+aeCtAJclxSNdzhpHkcFGCdUGUKmSEioHx1boMzrciLVbz1Twf5ZPZapSnTTN6v67z0WydPU2b&#10;d01dN9n3QD7Ly04wxlXgfxviLP+7Iblep8v43cf4rlTyiB5FALK3dyQdWx66fJmXnWbnrQ3Vhe7D&#10;3Ebn6x0LF+PXffT6+SdY/gAAAP//AwBQSwMEFAAGAAgAAAAhABQr9h3gAAAACQEAAA8AAABkcnMv&#10;ZG93bnJldi54bWxMj81OwzAQhO9IvIO1SNyo3b+khGyqih8JVfRA6AO48TaJGq+j2G3D22NOcBzN&#10;aOabfD3aTlxo8K1jhOlEgSCunGm5Rth/vT2sQPig2ejOMSF8k4d1cXuT68y4K3/SpQy1iCXsM43Q&#10;hNBnUvqqIav9xPXE0Tu6weoQ5VBLM+hrLLednCmVSKtbjguN7um5oepUni3Czh4/1On1Re3aZtNT&#10;uV2W9fsS8f5u3DyBCDSGvzD84kd0KCLTwZ3ZeNEhzKdp/BIQZmkKIgYWiyQBcUB4nKcgi1z+f1D8&#10;AAAA//8DAFBLAQItABQABgAIAAAAIQC2gziS/gAAAOEBAAATAAAAAAAAAAAAAAAAAAAAAABbQ29u&#10;dGVudF9UeXBlc10ueG1sUEsBAi0AFAAGAAgAAAAhADj9If/WAAAAlAEAAAsAAAAAAAAAAAAAAAAA&#10;LwEAAF9yZWxzLy5yZWxzUEsBAi0AFAAGAAgAAAAhABdGon8xAgAAUQQAAA4AAAAAAAAAAAAAAAAA&#10;LgIAAGRycy9lMm9Eb2MueG1sUEsBAi0AFAAGAAgAAAAhABQr9h3gAAAACQEAAA8AAAAAAAAAAAAA&#10;AAAAiwQAAGRycy9kb3ducmV2LnhtbFBLBQYAAAAABAAEAPMAAACYBQAAAAA=&#10;" strokecolor="red" strokeweight="4.5pt">
                <v:stroke endarrow="block"/>
              </v:line>
            </w:pict>
          </mc:Fallback>
        </mc:AlternateContent>
      </w:r>
      <w:r>
        <w:rPr>
          <w:rFonts w:asciiTheme="minorHAnsi" w:hAnsiTheme="minorHAnsi" w:cstheme="minorHAnsi"/>
          <w:sz w:val="20"/>
          <w:szCs w:val="20"/>
        </w:rPr>
        <w:t>Pour revenir en arrière, utilisez l’arborescence située en haut de l’écran, en-dessous de la barre d’adresse de votre page Internet :</w:t>
      </w:r>
    </w:p>
    <w:p>
      <w:pPr>
        <w:spacing w:after="120" w:line="276" w:lineRule="auto"/>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61312" behindDoc="0" locked="0" layoutInCell="1" allowOverlap="1">
                <wp:simplePos x="0" y="0"/>
                <wp:positionH relativeFrom="column">
                  <wp:posOffset>2274062</wp:posOffset>
                </wp:positionH>
                <wp:positionV relativeFrom="paragraph">
                  <wp:posOffset>209448</wp:posOffset>
                </wp:positionV>
                <wp:extent cx="2971800" cy="224790"/>
                <wp:effectExtent l="16510" t="15875" r="21590" b="16510"/>
                <wp:wrapNone/>
                <wp:docPr id="78" name="Oval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0" cy="22479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0" o:spid="_x0000_s1026" style="position:absolute;margin-left:179.05pt;margin-top:16.5pt;width:234pt;height:17.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vpcwIAAO8EAAAOAAAAZHJzL2Uyb0RvYy54bWysVNuO2yAQfa/Uf0C8J77UuVnrrFZxXFXa&#10;dlfa9gOIwTEqBgokzrbaf++Ak2zSfamq+gEPDBzmnJnh5vbQCbRnxnIlC5yMY4yYrBXlclvgb1+r&#10;0Rwj64ikRCjJCvzMLL5dvn930+ucpapVgjKDAETavNcFbp3TeRTZumUdsWOlmQRno0xHHEzNNqKG&#10;9IDeiSiN42nUK0O1UTWzFlbLwYmXAb9pWO0emsYyh0SBITYXRhPGjR+j5Q3Jt4boltfHMMg/RNER&#10;LuHSM1RJHEE7w99Adbw2yqrGjWvVRappeM0CB2CTxH+weWqJZoELiGP1WSb7/2DrL/tHgzgt8Awy&#10;JUkHOXrYE4EWQZte2xy2POlH49lZfa/q7xZJtWqJ3LI7Y1TfMkIhosRrGV0d8BMLR9Gm/6woIJOd&#10;U0GmQ2M6DwgCoEPIxvM5G+zgUA2L6WKWzGNIWg2+NM1mQ0gRyU+ntbHuI1Md8kaBmRBcWy8Yycn+&#10;3jofEMlPu/yyVBUXIiRdSNQD7nwym4QTVglOvTcQNdvNShgEShS4qmL4Aj2Q4HKbUTtJA5oXYX20&#10;HeFisOF2IT0ecIJ4jtZQGL8W8WI9X8+zUZZO16MsLsvRXbXKRtMqmU3KD+VqVSYvPrQky1tOKZM+&#10;ulORJtnfFcGxXYbyOpfpFQt7TbaC7y3Z6DqMoCywOv0Du5B9n3DffjbfKPoMyTdq6Dp4JcBolfmJ&#10;UQ8dV2D7Y0cMw0h8klBAiyTLfIuGSTaZpTAxl57NpYfIGqAK7DAazJUb2nqnDd+2cFMS0irVHRRd&#10;w0MxvEZ1LFXoqsDg+AL4tr2ch12v79TyNwAAAP//AwBQSwMEFAAGAAgAAAAhAJ6Z1DLgAAAACQEA&#10;AA8AAABkcnMvZG93bnJldi54bWxMj0FPg0AQhe8m/ofNmHizS1tLNsjSEI1eTDStpulxgSmg7Cxh&#10;F4r+eseT3mbmvbz5XrqdbScmHHzrSMNyEYFAKl3VUq3h/e3xRoHwwVBlOkeo4Qs9bLPLi9QklTvT&#10;Dqd9qAWHkE+MhiaEPpHSlw1a4xeuR2Lt5AZrAq9DLavBnDncdnIVRbG0piX+0Jge7xssP/ej1ZBP&#10;30/mtX0uNqNT8/EkH/LDy4fW11dzfgci4Bz+zPCLz+iQMVPhRqq86DSsN2rJVh7W3IkNahXzodAQ&#10;q1uQWSr/N8h+AAAA//8DAFBLAQItABQABgAIAAAAIQC2gziS/gAAAOEBAAATAAAAAAAAAAAAAAAA&#10;AAAAAABbQ29udGVudF9UeXBlc10ueG1sUEsBAi0AFAAGAAgAAAAhADj9If/WAAAAlAEAAAsAAAAA&#10;AAAAAAAAAAAALwEAAF9yZWxzLy5yZWxzUEsBAi0AFAAGAAgAAAAhACrK2+lzAgAA7wQAAA4AAAAA&#10;AAAAAAAAAAAALgIAAGRycy9lMm9Eb2MueG1sUEsBAi0AFAAGAAgAAAAhAJ6Z1DLgAAAACQEAAA8A&#10;AAAAAAAAAAAAAAAAzQQAAGRycy9kb3ducmV2LnhtbFBLBQYAAAAABAAEAPMAAADaBQAAAAA=&#10;" filled="f" strokecolor="red" strokeweight="2.25pt"/>
            </w:pict>
          </mc:Fallback>
        </mc:AlternateContent>
      </w:r>
      <w:r>
        <w:rPr>
          <w:rFonts w:asciiTheme="minorHAnsi" w:hAnsiTheme="minorHAnsi" w:cstheme="minorHAnsi"/>
          <w:noProof/>
          <w:szCs w:val="20"/>
          <w:lang w:eastAsia="fr-BE"/>
        </w:rPr>
        <w:drawing>
          <wp:inline distT="0" distB="0" distL="0" distR="0">
            <wp:extent cx="5753735" cy="653415"/>
            <wp:effectExtent l="19050" t="19050" r="18415" b="13335"/>
            <wp:docPr id="31" name="Image 31" descr="barre d'adresse navig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arre d'adresse navigation"/>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3735" cy="653415"/>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En cliquant sur Partage CTA, vous reviendrez à la page d’accueil :</w:t>
      </w:r>
    </w:p>
    <w:p>
      <w:pPr>
        <w:spacing w:after="120" w:line="276" w:lineRule="auto"/>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63360" behindDoc="0" locked="0" layoutInCell="1" allowOverlap="1">
                <wp:simplePos x="0" y="0"/>
                <wp:positionH relativeFrom="column">
                  <wp:posOffset>1971447</wp:posOffset>
                </wp:positionH>
                <wp:positionV relativeFrom="paragraph">
                  <wp:posOffset>31699</wp:posOffset>
                </wp:positionV>
                <wp:extent cx="1027430" cy="224790"/>
                <wp:effectExtent l="19685" t="20320" r="19685" b="21590"/>
                <wp:wrapNone/>
                <wp:docPr id="77" name="Oval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7430" cy="22479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2" o:spid="_x0000_s1026" style="position:absolute;margin-left:155.25pt;margin-top:2.5pt;width:80.9pt;height:17.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TDdQIAAO8EAAAOAAAAZHJzL2Uyb0RvYy54bWysVF1v2yAUfZ+0/4B4T/1Rp06sOlUVx9Ok&#10;bq3U7QcQg2M0DAxInG7qf98FJ1myvkzT/IAvXDjcc++53N7te4F2zFiuZImTqxgjJhtFudyU+OuX&#10;ejLDyDoiKRFKshK/MIvvFu/f3Q66YKnqlKDMIACRthh0iTvndBFFtulYT+yV0kyCs1WmJw6mZhNR&#10;QwZA70WUxvFNNChDtVENsxZWq9GJFwG/bVnjHtvWModEiSE2F0YTxrUfo8UtKTaG6I43hzDIP0TR&#10;Ey7h0hNURRxBW8PfQPW8Mcqq1l01qo9U2/KGBQ7AJon/YPPcEc0CF0iO1ac02f8H23zePRnEaYnz&#10;HCNJeqjR444INE99bgZtC9jyrJ+MZ2f1g2q+WSTVsiNyw+6NUUPHCIWIEr8/ujjgJxaOovXwSVFA&#10;JlunQpr2rek9ICQA7UM1Xk7VYHuHGlhM4jTPrqFoDfjSNMvnoVwRKY6ntbHuA1M98kaJmRBcW58w&#10;UpDdg3U+IFIcd/llqWouRCi6kGgA3Nk0n4YTVglOvTcQNZv1UhgEmShxXcfwBXqQgvNtRm0lDWg+&#10;CauD7QgXow23C+nxgBPEc7BGYfycx/PVbDXLJll6s5pkcVVN7utlNrmpk3xaXVfLZZW8+tCSrOg4&#10;pUz66I4iTbK/E8GhXUZ5nWR6wcJekq3he0s2ugwjZBZYHf+BXai+L/gonLWiL1B8o8aug1cCjE6Z&#10;HxgN0HEltt+3xDCMxEcJAponWeZbNEyyaZ7CxJx71uceIhuAKrHDaDSXbmzrrTZ808FNSSirVPcg&#10;upYHMXhBjlEdpApdFRgcXgDftufzsOv3O7X4BQAA//8DAFBLAwQUAAYACAAAACEAzSr1at8AAAAI&#10;AQAADwAAAGRycy9kb3ducmV2LnhtbEyPT0vEMBDF74LfIYzgzU32T3WpTZei6EVQXEU8TptsW20m&#10;pUm71U/veNLbPN7jze9lu9l1YrJDaD1pWC4UCEuVNy3VGl5f7i62IEJEMth5shq+bIBdfnqSYWr8&#10;kZ7ttI+14BIKKWpoYuxTKUPVWIdh4XtL7B384DCyHGppBjxyuevkSqlL6bAl/tBgb28aW33uR6eh&#10;mL7v8al9KJPRb+f3g7wt3h4/tD4/m4trENHO8S8Mv/iMDjkzlX4kE0SnYb1UCUc1JDyJ/c3Vag2i&#10;5ENtQOaZ/D8g/wEAAP//AwBQSwECLQAUAAYACAAAACEAtoM4kv4AAADhAQAAEwAAAAAAAAAAAAAA&#10;AAAAAAAAW0NvbnRlbnRfVHlwZXNdLnhtbFBLAQItABQABgAIAAAAIQA4/SH/1gAAAJQBAAALAAAA&#10;AAAAAAAAAAAAAC8BAABfcmVscy8ucmVsc1BLAQItABQABgAIAAAAIQCJ+6TDdQIAAO8EAAAOAAAA&#10;AAAAAAAAAAAAAC4CAABkcnMvZTJvRG9jLnhtbFBLAQItABQABgAIAAAAIQDNKvVq3wAAAAgBAAAP&#10;AAAAAAAAAAAAAAAAAM8EAABkcnMvZG93bnJldi54bWxQSwUGAAAAAAQABADzAAAA2wUAAAAA&#10;" filled="f" strokecolor="red" strokeweight="2.25pt"/>
            </w:pict>
          </mc:Fallback>
        </mc:AlternateContent>
      </w:r>
      <w:r>
        <w:rPr>
          <w:rFonts w:asciiTheme="minorHAnsi" w:hAnsiTheme="minorHAnsi" w:cstheme="minorHAnsi"/>
          <w:noProof/>
          <w:szCs w:val="20"/>
          <w:lang w:eastAsia="fr-BE"/>
        </w:rPr>
        <w:drawing>
          <wp:inline distT="0" distB="0" distL="0" distR="0">
            <wp:extent cx="5753735" cy="201930"/>
            <wp:effectExtent l="19050" t="19050" r="18415" b="26670"/>
            <wp:docPr id="32" name="Image 32" descr="Zoom arboresc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oom arboresc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735" cy="201930"/>
                    </a:xfrm>
                    <a:prstGeom prst="rect">
                      <a:avLst/>
                    </a:prstGeom>
                    <a:noFill/>
                    <a:ln w="6350" cmpd="sng">
                      <a:solidFill>
                        <a:srgbClr val="000000"/>
                      </a:solidFill>
                      <a:miter lim="800000"/>
                      <a:headEnd/>
                      <a:tailEnd/>
                    </a:ln>
                    <a:effectLst/>
                  </pic:spPr>
                </pic:pic>
              </a:graphicData>
            </a:graphic>
          </wp:inline>
        </w:drawing>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Créer un dossier</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Si vous souhaitez créer un nouveau dossier dans votre espace nominatif, vous devez effectuer l’action de « </w:t>
      </w:r>
      <w:r>
        <w:rPr>
          <w:rFonts w:asciiTheme="minorHAnsi" w:hAnsiTheme="minorHAnsi" w:cstheme="minorHAnsi"/>
          <w:b/>
          <w:sz w:val="20"/>
          <w:szCs w:val="20"/>
          <w:u w:val="single"/>
        </w:rPr>
        <w:t>créer un espace</w:t>
      </w:r>
      <w:r>
        <w:rPr>
          <w:rFonts w:asciiTheme="minorHAnsi" w:hAnsiTheme="minorHAnsi" w:cstheme="minorHAnsi"/>
          <w:sz w:val="20"/>
          <w:szCs w:val="20"/>
        </w:rPr>
        <w:t> »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64384" behindDoc="0" locked="0" layoutInCell="1" allowOverlap="1">
                <wp:simplePos x="0" y="0"/>
                <wp:positionH relativeFrom="column">
                  <wp:posOffset>1894586</wp:posOffset>
                </wp:positionH>
                <wp:positionV relativeFrom="paragraph">
                  <wp:posOffset>544144</wp:posOffset>
                </wp:positionV>
                <wp:extent cx="1234440" cy="342900"/>
                <wp:effectExtent l="22225" t="20320" r="19685" b="17780"/>
                <wp:wrapNone/>
                <wp:docPr id="76" name="Oval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4440" cy="342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3" o:spid="_x0000_s1026" style="position:absolute;margin-left:149.2pt;margin-top:42.85pt;width:97.2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sKBdQIAAO8EAAAOAAAAZHJzL2Uyb0RvYy54bWysVNuO2yAQfa/Uf0C8Z32Jc7PWWa3iuKq0&#10;7a607QcQjGNUDBRInG21/94BJ2nSfamq+gEPDAxz5pzh9u7QCbRnxnIlC5zcxBgxSVXN5bbAX79U&#10;ozlG1hFZE6EkK/ALs/hu+f7dba9zlqpWiZoZBEGkzXtd4NY5nUeRpS3riL1RmklwNsp0xMHUbKPa&#10;kB6idyJK43ga9crU2ijKrIXVcnDiZYjfNIy6x6axzCFRYMjNhdGEcePHaHlL8q0huuX0mAb5hyw6&#10;wiVceg5VEkfQzvA3oTpOjbKqcTdUdZFqGk5ZwABokvgPNM8t0SxggeJYfS6T/X9h6ef9k0G8LvBs&#10;ipEkHXD0uCcCLca+Nr22OWx51k/Go7P6QdFvFkm1aoncsntjVN8yUkNGid8fXR3wEwtH0ab/pGqI&#10;THZOhTIdGtP5gFAAdAhsvJzZYAeHKCwm6TjLMiCNgm+cpYs40BWR/HRaG+s+MNUhbxSYCcG19QUj&#10;Odk/WOcTIvlpl1+WquJCBNKFRH2B0/lkNgknrBK89t4A1Gw3K2EQVKLAVRXDF+BBCS63GbWTdYjm&#10;i7A+2o5wMdhwu5A+HmCCfI7WIIyfi3ixnq/n2ShLp+tRFpfl6L5aZaNplcwm5bhcrcrk1aeWZHnL&#10;65pJn91JpEn2dyI4tssgr7NMr1DYa7AVfG/BRtdphMoCqtM/oAvse8IH4WxU/QLkGzV0HbwSYLTK&#10;/MCoh44rsP2+I4ZhJD5KENAiCWy7MMkmsxSoN5eezaWHSAqhCuwwGsyVG9p6pw3ftnBTEmiV6h5E&#10;1/AgBi/IIaujVKGrAoLjC+Db9nIedv1+p5a/AAAA//8DAFBLAwQUAAYACAAAACEA5zhyOOEAAAAK&#10;AQAADwAAAGRycy9kb3ducmV2LnhtbEyPQU+DQBCF7yb+h82YeLOL2FpAloZo9GJS09YYjwtMAWVn&#10;CbtQ9Nc7nvQ4mS/vfS/dzKYTEw6utaTgehGAQCpt1VKt4PXweBWBcF5TpTtLqOALHWyy87NUJ5U9&#10;0Q6nva8Fh5BLtILG+z6R0pUNGu0Wtkfi39EORns+h1pWgz5xuOlkGAS30uiWuKHRPd43WH7uR6Mg&#10;n76f9Ev7XKxGG83vR/mQv20/lLq8mPM7EB5n/wfDrz6rQ8ZOhR2pcqJTEMbRklEF0WoNgoFlHPKW&#10;gsmbeA0yS+X/CdkPAAAA//8DAFBLAQItABQABgAIAAAAIQC2gziS/gAAAOEBAAATAAAAAAAAAAAA&#10;AAAAAAAAAABbQ29udGVudF9UeXBlc10ueG1sUEsBAi0AFAAGAAgAAAAhADj9If/WAAAAlAEAAAsA&#10;AAAAAAAAAAAAAAAALwEAAF9yZWxzLy5yZWxzUEsBAi0AFAAGAAgAAAAhAIu2woF1AgAA7wQAAA4A&#10;AAAAAAAAAAAAAAAALgIAAGRycy9lMm9Eb2MueG1sUEsBAi0AFAAGAAgAAAAhAOc4cjjhAAAACgEA&#10;AA8AAAAAAAAAAAAAAAAAzwQAAGRycy9kb3ducmV2LnhtbFBLBQYAAAAABAAEAPMAAADdBQAAAAA=&#10;" filled="f" strokecolor="red" strokeweight="2.25pt"/>
            </w:pict>
          </mc:Fallback>
        </mc:AlternateContent>
      </w:r>
      <w:r>
        <w:rPr>
          <w:rFonts w:asciiTheme="minorHAnsi" w:hAnsiTheme="minorHAnsi" w:cstheme="minorHAnsi"/>
          <w:noProof/>
          <w:szCs w:val="20"/>
          <w:lang w:eastAsia="fr-BE"/>
        </w:rPr>
        <w:drawing>
          <wp:inline distT="0" distB="0" distL="0" distR="0">
            <wp:extent cx="5355590" cy="1181735"/>
            <wp:effectExtent l="19050" t="19050" r="16510" b="18415"/>
            <wp:docPr id="33" name="Image 33" descr="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ctions"/>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55590" cy="1181735"/>
                    </a:xfrm>
                    <a:prstGeom prst="rect">
                      <a:avLst/>
                    </a:prstGeom>
                    <a:noFill/>
                    <a:ln w="6350" cmpd="sng">
                      <a:solidFill>
                        <a:srgbClr val="000000"/>
                      </a:solidFill>
                      <a:miter lim="800000"/>
                      <a:headEnd/>
                      <a:tailEnd/>
                    </a:ln>
                    <a:effectLst/>
                  </pic:spPr>
                </pic:pic>
              </a:graphicData>
            </a:graphic>
          </wp:inline>
        </w:drawing>
      </w:r>
    </w:p>
    <w:p>
      <w:pPr>
        <w:spacing w:after="120" w:line="276" w:lineRule="auto"/>
        <w:rPr>
          <w:rFonts w:asciiTheme="minorHAnsi" w:hAnsiTheme="minorHAnsi" w:cstheme="minorHAnsi"/>
          <w:sz w:val="20"/>
          <w:szCs w:val="20"/>
        </w:rPr>
      </w:pPr>
      <w:r>
        <w:rPr>
          <w:rFonts w:asciiTheme="minorHAnsi" w:hAnsiTheme="minorHAnsi" w:cstheme="minorHAnsi"/>
          <w:szCs w:val="20"/>
        </w:rPr>
        <w:br w:type="page"/>
      </w:r>
      <w:r>
        <w:rPr>
          <w:rFonts w:asciiTheme="minorHAnsi" w:hAnsiTheme="minorHAnsi" w:cstheme="minorHAnsi"/>
          <w:sz w:val="20"/>
          <w:szCs w:val="20"/>
        </w:rPr>
        <w:lastRenderedPageBreak/>
        <w:t>Une fois avoir cliqué sur « Créer un espace », vous êtes alors dirigé vers l’écran suivant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5759450" cy="1175385"/>
            <wp:effectExtent l="19050" t="19050" r="12700" b="24765"/>
            <wp:docPr id="34" name="Image 34" descr="création doss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réation dossier"/>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59450" cy="1175385"/>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Vous pouvez alors inscrire le nom de votre dossier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66432" behindDoc="0" locked="0" layoutInCell="1" allowOverlap="1">
                <wp:simplePos x="0" y="0"/>
                <wp:positionH relativeFrom="column">
                  <wp:posOffset>1980997</wp:posOffset>
                </wp:positionH>
                <wp:positionV relativeFrom="paragraph">
                  <wp:posOffset>487756</wp:posOffset>
                </wp:positionV>
                <wp:extent cx="1234440" cy="342900"/>
                <wp:effectExtent l="22225" t="23495" r="19685" b="14605"/>
                <wp:wrapNone/>
                <wp:docPr id="75" name="Oval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4440" cy="342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5" o:spid="_x0000_s1026" style="position:absolute;margin-left:156pt;margin-top:38.4pt;width:97.2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1bmdAIAAO8EAAAOAAAAZHJzL2Uyb0RvYy54bWysVF1v2yAUfZ+0/4B4T/1Rp02sOlUVx9Ok&#10;ba3U7QcQwDEaBgYkTjftv++CkyxZX6ZpfsAXLlzuuedc7u73vUQ7bp3QqsLZVYoRV1QzoTYV/vK5&#10;mcwwcp4oRqRWvMIv3OH7xds3d4Mpea47LRm3CIIoVw6mwp33pkwSRzveE3elDVfgbLXtiYep3STM&#10;kgGi9zLJ0/QmGbRlxmrKnYPVenTiRYzftpz6x7Z13CNZYcjNx9HGcR3GZHFHyo0lphP0kAb5hyx6&#10;IhRcegpVE0/Q1opXoXpBrXa69VdU94luW0F5xABosvQPNM8dMTxigeI4cyqT+39h6afdk0WCVfh2&#10;ipEiPXD0uCMSzaehNoNxJWx5Nk82oHPmg6ZfHVJ62RG14Q/W6qHjhEFGWdifXBwIEwdH0Xr4qBlE&#10;JluvY5n2re1DQCgA2kc2Xk5s8L1HFBaz/LooCiCNgu+6yOdppCsh5fG0sc6/47pHwagwl1IYFwpG&#10;SrL74HxIiJTHXWFZ6UZIGUmXCg0VzmdTAB6xaSlY8MaJ3ayX0iKoRIWbJoUvwoMSnG+zeqtYjBaK&#10;sDrYngg52nC7VCEeYIJ8DtYojB/zdL6arWbFpMhvVpMirevJQ7MsJjdNdjutr+vlss5+htSyouwE&#10;Y1yF7I4izYq/E8GhXUZ5nWR6gcJdgm3gew02uUwjVhZQHf8RXWQ/ED4KZ63ZC5Bv9dh18EqA0Wn7&#10;HaMBOq7C7tuWWI6RfK9AQPMssu3jpJje5kC9Pfeszz1EUQhVYY/RaC792NZbY8Wmg5uySKvSDyC6&#10;VkQxBEGOWR2kCl0VERxegNC25/O46/c7tfgFAAD//wMAUEsDBBQABgAIAAAAIQCieLLP4QAAAAoB&#10;AAAPAAAAZHJzL2Rvd25yZXYueG1sTI9BT4NAEIXvJv6HzZh4s7ttLRJkaYhGLyYaa9N4HGALKDtL&#10;2IWiv97xpMfJvLz3fel2tp2YzOBbRxqWCwXCUOmqlmoN+7eHqxiED0gVdo6Mhi/jYZudn6WYVO5E&#10;r2bahVpwCfkENTQh9ImUvmyMRb9wvSH+Hd1gMfA51LIa8MTltpMrpSJpsSVeaLA3d40pP3ej1ZBP&#10;34/40j4Vm9HF8/tR3ueH5w+tLy/m/BZEMHP4C8MvPqNDxkyFG6nyotOwXq7YJWi4iViBAxsVXYMo&#10;OLlWMcgslf8Vsh8AAAD//wMAUEsBAi0AFAAGAAgAAAAhALaDOJL+AAAA4QEAABMAAAAAAAAAAAAA&#10;AAAAAAAAAFtDb250ZW50X1R5cGVzXS54bWxQSwECLQAUAAYACAAAACEAOP0h/9YAAACUAQAACwAA&#10;AAAAAAAAAAAAAAAvAQAAX3JlbHMvLnJlbHNQSwECLQAUAAYACAAAACEAp2NW5nQCAADvBAAADgAA&#10;AAAAAAAAAAAAAAAuAgAAZHJzL2Uyb0RvYy54bWxQSwECLQAUAAYACAAAACEAoniyz+EAAAAKAQAA&#10;DwAAAAAAAAAAAAAAAADOBAAAZHJzL2Rvd25yZXYueG1sUEsFBgAAAAAEAAQA8wAAANwFAAAAAA==&#10;" filled="f" strokecolor="red" strokeweight="2.25pt"/>
            </w:pict>
          </mc:Fallback>
        </mc:AlternateContent>
      </w:r>
      <w:r>
        <w:rPr>
          <w:rFonts w:asciiTheme="minorHAnsi" w:hAnsiTheme="minorHAnsi" w:cstheme="minorHAnsi"/>
          <w:noProof/>
          <w:szCs w:val="20"/>
          <w:lang w:eastAsia="fr-BE"/>
        </w:rPr>
        <w:drawing>
          <wp:inline distT="0" distB="0" distL="0" distR="0">
            <wp:extent cx="3409200" cy="1440000"/>
            <wp:effectExtent l="19050" t="19050" r="20320" b="27305"/>
            <wp:docPr id="35" name="Image 35" descr="zoom création doss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zoom création dossie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09200" cy="144000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Une fois le nom du dossier encodé, cliquez sur le bouton « Créer un Espace » situé à droite de votre écran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1484630" cy="836930"/>
            <wp:effectExtent l="19050" t="19050" r="20320" b="20320"/>
            <wp:docPr id="36" name="Image 36" descr="créer un esp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réer un espac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84630" cy="836930"/>
                    </a:xfrm>
                    <a:prstGeom prst="rect">
                      <a:avLst/>
                    </a:prstGeom>
                    <a:noFill/>
                    <a:ln w="6350" cmpd="sng">
                      <a:solidFill>
                        <a:srgbClr val="000000"/>
                      </a:solidFill>
                      <a:miter lim="800000"/>
                      <a:headEnd/>
                      <a:tailEnd/>
                    </a:ln>
                    <a:effectLst/>
                  </pic:spPr>
                </pic:pic>
              </a:graphicData>
            </a:graphic>
          </wp:inline>
        </w:drawing>
      </w:r>
    </w:p>
    <w:p>
      <w:pPr>
        <w:spacing w:before="240" w:after="240" w:line="276" w:lineRule="auto"/>
        <w:jc w:val="both"/>
        <w:rPr>
          <w:rFonts w:asciiTheme="minorHAnsi" w:hAnsiTheme="minorHAnsi" w:cstheme="minorHAnsi"/>
          <w:sz w:val="22"/>
          <w:szCs w:val="22"/>
        </w:rPr>
      </w:pPr>
      <w:r>
        <w:rPr>
          <w:rFonts w:asciiTheme="minorHAnsi" w:hAnsiTheme="minorHAnsi" w:cstheme="minorHAnsi"/>
          <w:sz w:val="22"/>
          <w:szCs w:val="22"/>
        </w:rPr>
        <w:t>Votre dossier est alors créé.</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Ajouter des fichiers</w:t>
      </w:r>
    </w:p>
    <w:p>
      <w:pPr>
        <w:pStyle w:val="Paragraphedeliste"/>
        <w:spacing w:after="120" w:line="276" w:lineRule="auto"/>
        <w:ind w:left="0"/>
        <w:jc w:val="both"/>
        <w:rPr>
          <w:rFonts w:asciiTheme="minorHAnsi" w:hAnsiTheme="minorHAnsi" w:cstheme="minorHAnsi"/>
          <w:sz w:val="20"/>
          <w:szCs w:val="20"/>
        </w:rPr>
      </w:pPr>
      <w:r>
        <w:rPr>
          <w:rFonts w:asciiTheme="minorHAnsi" w:hAnsiTheme="minorHAnsi" w:cstheme="minorHAnsi"/>
          <w:sz w:val="20"/>
          <w:szCs w:val="20"/>
        </w:rPr>
        <w:t>Pour ajouter des fichiers existants à votre dossier, vous avez 2 possibilités différentes.</w:t>
      </w:r>
    </w:p>
    <w:p>
      <w:pPr>
        <w:pStyle w:val="Paragraphedeliste"/>
        <w:numPr>
          <w:ilvl w:val="0"/>
          <w:numId w:val="62"/>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Action ‘Ajouter un contenu’</w:t>
      </w:r>
    </w:p>
    <w:p>
      <w:pPr>
        <w:pStyle w:val="Paragraphedeliste"/>
        <w:spacing w:after="120" w:line="276" w:lineRule="auto"/>
        <w:ind w:left="709"/>
        <w:jc w:val="both"/>
        <w:rPr>
          <w:rFonts w:asciiTheme="minorHAnsi" w:hAnsiTheme="minorHAnsi" w:cstheme="minorHAnsi"/>
          <w:sz w:val="20"/>
          <w:szCs w:val="20"/>
        </w:rPr>
      </w:pPr>
      <w:r>
        <w:rPr>
          <w:rFonts w:asciiTheme="minorHAnsi" w:hAnsiTheme="minorHAnsi" w:cstheme="minorHAnsi"/>
          <w:sz w:val="20"/>
          <w:szCs w:val="20"/>
        </w:rPr>
        <w:t>Il suffit, dans ce cas, d’effectuer l’action « Ajouter un contenu » située dans la barre d’action en haut à droite de la page :</w:t>
      </w:r>
    </w:p>
    <w:p>
      <w:pPr>
        <w:pStyle w:val="Paragraphedeliste"/>
        <w:spacing w:after="120" w:line="276" w:lineRule="auto"/>
        <w:ind w:left="357"/>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67456" behindDoc="0" locked="0" layoutInCell="1" allowOverlap="1">
                <wp:simplePos x="0" y="0"/>
                <wp:positionH relativeFrom="column">
                  <wp:posOffset>1309675</wp:posOffset>
                </wp:positionH>
                <wp:positionV relativeFrom="paragraph">
                  <wp:posOffset>844119</wp:posOffset>
                </wp:positionV>
                <wp:extent cx="1295400" cy="342900"/>
                <wp:effectExtent l="16510" t="19050" r="21590" b="19050"/>
                <wp:wrapNone/>
                <wp:docPr id="74" name="Oval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42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6" o:spid="_x0000_s1026" style="position:absolute;margin-left:103.1pt;margin-top:66.45pt;width:102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5VcwIAAO8EAAAOAAAAZHJzL2Uyb0RvYy54bWysVFtv2yAUfp+0/4B4T32pc7PqVFUcT5O6&#10;tVK3H0AMjtEwMCBxumn/fQfsZE37Mk3zAz6Hc/g437lwc3vsBDowY7mSBU6uYoyYrBXlclfgr1+q&#10;yQIj64ikRCjJCvzMLL5dvX930+ucpapVgjKDAETavNcFbp3TeRTZumUdsVdKMwnGRpmOOFDNLqKG&#10;9IDeiSiN41nUK0O1UTWzFnbLwYhXAb9pWO0emsYyh0SBITYXVhPWrV+j1Q3Jd4boltdjGOQfougI&#10;l3DpGaokjqC94W+gOl4bZVXjrmrVRappeM0CB2CTxK/YPLVEs8AFkmP1OU32/8HWnw+PBnFa4HmG&#10;kSQd1OjhQARaznxuem1zcHnSj8azs/pe1d8skmrdErljd8aovmWEQkSJ948uDnjFwlG07T8pCshk&#10;71RI07ExnQeEBKBjqMbzuRrs6FANm0m6nGYxFK0G23WWLkH2V5D8dFob6z4w1SEvFJgJwbX1CSM5&#10;OdxbN3ifvPy2VBUXAvZJLiTqC5wupvNpOGGV4NRbvdGa3XYtDIJMFLiqYvjGuy/cjNpLGtB8Ejaj&#10;7AgXgwyxCunxgBPEM0pDY/xcxsvNYrPIJlk620yyuCwnd9U6m8yqZD4tr8v1ukx++dCSLG85pUz6&#10;6E5NmmR/1wTjuAztdW7TCxavyFbwvSUbXYYR6gCsTv/ALlTfF3xonK2iz1B8o4apg1cChFaZHxj1&#10;MHEFtt/3xDCMxEcJDbRMssyPaFCy6TwFxby0bF9aiKwBqsAOo0Fcu2Gs99rwXQs3JaGsUt1B0zU8&#10;NINvyCGqsVVhqgKD8QXwY/tSD15/3qnVbwAAAP//AwBQSwMEFAAGAAgAAAAhALH82YrgAAAACwEA&#10;AA8AAABkcnMvZG93bnJldi54bWxMj0FPhDAQhe8m/odmTLy57aISFikbotGLiRtXYzwO0AWUTgkt&#10;LPrrHU96nPe+vHkv2y62F7MZfedIw3qlQBiqXN1Ro+H15f4iAeEDUo29I6Phy3jY5qcnGaa1O9Kz&#10;mfehERxCPkUNbQhDKqWvWmPRr9xgiL2DGy0GPsdG1iMeOdz2MlIqlhY74g8tDua2NdXnfrIaivn7&#10;AXfdY3k9uWR5P8i74u3pQ+vzs6W4ARHMEv5g+K3P1SHnTqWbqPai1xCpOGKUjctoA4KJq7VipWQl&#10;iTcg80z+35D/AAAA//8DAFBLAQItABQABgAIAAAAIQC2gziS/gAAAOEBAAATAAAAAAAAAAAAAAAA&#10;AAAAAABbQ29udGVudF9UeXBlc10ueG1sUEsBAi0AFAAGAAgAAAAhADj9If/WAAAAlAEAAAsAAAAA&#10;AAAAAAAAAAAALwEAAF9yZWxzLy5yZWxzUEsBAi0AFAAGAAgAAAAhACn4XlVzAgAA7wQAAA4AAAAA&#10;AAAAAAAAAAAALgIAAGRycy9lMm9Eb2MueG1sUEsBAi0AFAAGAAgAAAAhALH82YrgAAAACwEAAA8A&#10;AAAAAAAAAAAAAAAAzQQAAGRycy9kb3ducmV2LnhtbFBLBQYAAAAABAAEAPMAAADaBQAAAAA=&#10;" filled="f" strokecolor="red" strokeweight="2.25pt"/>
            </w:pict>
          </mc:Fallback>
        </mc:AlternateContent>
      </w:r>
      <w:r>
        <w:rPr>
          <w:rFonts w:asciiTheme="minorHAnsi" w:hAnsiTheme="minorHAnsi" w:cstheme="minorHAnsi"/>
          <w:noProof/>
          <w:szCs w:val="20"/>
          <w:lang w:eastAsia="fr-BE"/>
        </w:rPr>
        <w:drawing>
          <wp:inline distT="0" distB="0" distL="0" distR="0">
            <wp:extent cx="5317200" cy="1281600"/>
            <wp:effectExtent l="19050" t="19050" r="17145" b="13970"/>
            <wp:docPr id="37" name="Image 37" descr="Fonctionnalit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onctionnalité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17200" cy="1281600"/>
                    </a:xfrm>
                    <a:prstGeom prst="rect">
                      <a:avLst/>
                    </a:prstGeom>
                    <a:noFill/>
                    <a:ln w="6350" cmpd="sng">
                      <a:solidFill>
                        <a:srgbClr val="000000"/>
                      </a:solidFill>
                      <a:miter lim="800000"/>
                      <a:headEnd/>
                      <a:tailEnd/>
                    </a:ln>
                    <a:effectLst/>
                  </pic:spPr>
                </pic:pic>
              </a:graphicData>
            </a:graphic>
          </wp:inline>
        </w:drawing>
      </w:r>
    </w:p>
    <w:p>
      <w:pPr>
        <w:spacing w:line="276" w:lineRule="auto"/>
        <w:rPr>
          <w:rFonts w:asciiTheme="minorHAnsi" w:hAnsiTheme="minorHAnsi" w:cstheme="minorHAnsi"/>
          <w:sz w:val="22"/>
          <w:szCs w:val="22"/>
        </w:rPr>
      </w:pPr>
      <w:r>
        <w:rPr>
          <w:rFonts w:asciiTheme="minorHAnsi" w:hAnsiTheme="minorHAnsi" w:cstheme="minorHAnsi"/>
          <w:sz w:val="22"/>
          <w:szCs w:val="22"/>
        </w:rPr>
        <w:br w:type="page"/>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En cliquant sur ce bouton, vous êtes dirigés vers l’interface suivante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5747385" cy="926465"/>
            <wp:effectExtent l="19050" t="19050" r="24765" b="26035"/>
            <wp:docPr id="38" name="Image 38" descr="ajouter un fich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jouter un fichie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47385" cy="926465"/>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L’ajout du fichier s’effectue selon le même principe que l’ajout d’une pièce jointe dans un courriel, il convient de cliquer sur « Parcourir »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68480" behindDoc="0" locked="0" layoutInCell="1" allowOverlap="1">
                <wp:simplePos x="0" y="0"/>
                <wp:positionH relativeFrom="column">
                  <wp:posOffset>2921152</wp:posOffset>
                </wp:positionH>
                <wp:positionV relativeFrom="paragraph">
                  <wp:posOffset>1251813</wp:posOffset>
                </wp:positionV>
                <wp:extent cx="1295400" cy="342900"/>
                <wp:effectExtent l="14605" t="18415" r="23495" b="19685"/>
                <wp:wrapNone/>
                <wp:docPr id="73" name="Oval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42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7" o:spid="_x0000_s1026" style="position:absolute;margin-left:230pt;margin-top:98.55pt;width:102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e2JcwIAAO8EAAAOAAAAZHJzL2Uyb0RvYy54bWysVN1u2yAUvp+0d0Dcp/6p0yRWnaqK42lS&#10;t1bq9gDE4BgNAwMSp5v27jtgJ0vam2maL/A5nMPH+c4Pt3eHTqA9M5YrWeDkKsaIyVpRLrcF/vql&#10;mswxso5ISoSSrMAvzOK75ft3t73OWapaJSgzCECkzXtd4NY5nUeRrVvWEXulNJNgbJTpiAPVbCNq&#10;SA/onYjSOL6JemWoNqpm1sJuORjxMuA3DavdY9NY5pAoMMTmwmrCuvFrtLwl+dYQ3fJ6DIP8QxQd&#10;4RIuPUGVxBG0M/wNVMdro6xq3FWtukg1Da9Z4ABskvgVm+eWaBa4QHKsPqXJ/j/Y+vP+ySBOCzy7&#10;xkiSDmr0uCcCLWY+N722Obg86yfj2Vn9oOpvFkm1aoncsntjVN8yQiGixPtHFwe8YuEo2vSfFAVk&#10;snMqpOnQmM4DQgLQIVTj5VQNdnCohs0kXUyzGIpWg+06Sxcg+ytIfjytjXUfmOqQFwrMhODa+oSR&#10;nOwfrBu8j15+W6qKCwH7JBcS9QVO59PZNJywSnDqrd5ozXazEgZBJgpcVTF8490XbkbtJA1oPgnr&#10;UXaEi0GGWIX0eMAJ4hmloTF+LuLFer6eZ5MsvVlPsrgsJ/fVKpvcVMlsWl6Xq1WZ/PKhJVneckqZ&#10;9NEdmzTJ/q4JxnEZ2uvUphcsXpGt4HtLNroMI9QBWB3/gV2ovi/40DgbRV+g+EYNUwevBAitMj8w&#10;6mHiCmy/74hhGImPEhpokWSZH9GgZNNZCoo5t2zOLUTWAFVgh9Egrtww1jtt+LaFm5JQVqnuoeka&#10;HprBN+QQ1diqMFWBwfgC+LE914PXn3dq+RsAAP//AwBQSwMEFAAGAAgAAAAhANLnSMrhAAAACwEA&#10;AA8AAABkcnMvZG93bnJldi54bWxMj0FPg0AQhe8m/ofNmHizC02LLbI0RKMXE43VNB4HdgsoO0vY&#10;haK/3vGkx3nv5c33st1sOzGZwbeOFMSLCIShyumWagVvr/dXGxA+IGnsHBkFX8bDLj8/yzDV7kQv&#10;ZtqHWnAJ+RQVNCH0qZS+aoxFv3C9IfaObrAY+BxqqQc8cbnt5DKKEmmxJf7QYG9uG1N97keroJi+&#10;H/C5fSzXo9vM70d5VxyePpS6vJiLGxDBzOEvDL/4jA45M5VuJO1Fp2CVRLwlsLG9jkFwIklWrJQK&#10;lus4Bpln8v+G/AcAAP//AwBQSwECLQAUAAYACAAAACEAtoM4kv4AAADhAQAAEwAAAAAAAAAAAAAA&#10;AAAAAAAAW0NvbnRlbnRfVHlwZXNdLnhtbFBLAQItABQABgAIAAAAIQA4/SH/1gAAAJQBAAALAAAA&#10;AAAAAAAAAAAAAC8BAABfcmVscy8ucmVsc1BLAQItABQABgAIAAAAIQCfYe2JcwIAAO8EAAAOAAAA&#10;AAAAAAAAAAAAAC4CAABkcnMvZTJvRG9jLnhtbFBLAQItABQABgAIAAAAIQDS50jK4QAAAAsBAAAP&#10;AAAAAAAAAAAAAAAAAM0EAABkcnMvZG93bnJldi54bWxQSwUGAAAAAAQABADzAAAA2wUAAAAA&#10;" filled="f" strokecolor="red" strokeweight="2.25pt"/>
            </w:pict>
          </mc:Fallback>
        </mc:AlternateContent>
      </w:r>
      <w:r>
        <w:rPr>
          <w:rFonts w:asciiTheme="minorHAnsi" w:hAnsiTheme="minorHAnsi" w:cstheme="minorHAnsi"/>
          <w:noProof/>
          <w:szCs w:val="20"/>
          <w:lang w:eastAsia="fr-BE"/>
        </w:rPr>
        <w:drawing>
          <wp:inline distT="0" distB="0" distL="0" distR="0">
            <wp:extent cx="4577715" cy="1638935"/>
            <wp:effectExtent l="19050" t="19050" r="13335" b="18415"/>
            <wp:docPr id="39" name="Image 39" descr="zoom ajouter un fich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zoom ajouter un fichie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7715" cy="1638935"/>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Lorsque vous avez cliqué sur ce bouton, une fenêtre s’ouvre permettant d’aller chercher le document désiré afin de le sélectionner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4720590" cy="3853815"/>
            <wp:effectExtent l="19050" t="19050" r="22860" b="13335"/>
            <wp:docPr id="40" name="Image 40" descr="téléchargement fich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téléchargement fichie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20590" cy="3853815"/>
                    </a:xfrm>
                    <a:prstGeom prst="rect">
                      <a:avLst/>
                    </a:prstGeom>
                    <a:noFill/>
                    <a:ln w="6350" cmpd="sng">
                      <a:solidFill>
                        <a:srgbClr val="000000"/>
                      </a:solidFill>
                      <a:miter lim="800000"/>
                      <a:headEnd/>
                      <a:tailEnd/>
                    </a:ln>
                    <a:effectLst/>
                  </pic:spPr>
                </pic:pic>
              </a:graphicData>
            </a:graphic>
          </wp:inline>
        </w:drawing>
      </w:r>
    </w:p>
    <w:p>
      <w:pPr>
        <w:spacing w:line="276" w:lineRule="auto"/>
        <w:rPr>
          <w:rFonts w:asciiTheme="minorHAnsi" w:hAnsiTheme="minorHAnsi" w:cstheme="minorHAnsi"/>
          <w:sz w:val="22"/>
          <w:szCs w:val="22"/>
        </w:rPr>
      </w:pPr>
      <w:r>
        <w:rPr>
          <w:rFonts w:asciiTheme="minorHAnsi" w:hAnsiTheme="minorHAnsi" w:cstheme="minorHAnsi"/>
          <w:sz w:val="22"/>
          <w:szCs w:val="22"/>
        </w:rPr>
        <w:br w:type="page"/>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 xml:space="preserve">Il suffit alors d’aller </w:t>
      </w:r>
      <w:r>
        <w:rPr>
          <w:rFonts w:asciiTheme="minorHAnsi" w:hAnsiTheme="minorHAnsi" w:cstheme="minorHAnsi"/>
          <w:b/>
          <w:sz w:val="20"/>
          <w:szCs w:val="20"/>
          <w:u w:val="single"/>
        </w:rPr>
        <w:t>cliquer deux fois sur le document</w:t>
      </w:r>
      <w:r>
        <w:rPr>
          <w:rFonts w:asciiTheme="minorHAnsi" w:hAnsiTheme="minorHAnsi" w:cstheme="minorHAnsi"/>
          <w:sz w:val="20"/>
          <w:szCs w:val="20"/>
        </w:rPr>
        <w:t>. Vous êtes alors redirigé vers cet écran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69504" behindDoc="0" locked="0" layoutInCell="1" allowOverlap="1">
                <wp:simplePos x="0" y="0"/>
                <wp:positionH relativeFrom="column">
                  <wp:posOffset>5010887</wp:posOffset>
                </wp:positionH>
                <wp:positionV relativeFrom="paragraph">
                  <wp:posOffset>386309</wp:posOffset>
                </wp:positionV>
                <wp:extent cx="520598" cy="387705"/>
                <wp:effectExtent l="19050" t="19050" r="13335" b="12700"/>
                <wp:wrapNone/>
                <wp:docPr id="72" name="Oval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598" cy="387705"/>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8" o:spid="_x0000_s1026" style="position:absolute;margin-left:394.55pt;margin-top:30.4pt;width:41pt;height:30.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7GDdAIAAO4EAAAOAAAAZHJzL2Uyb0RvYy54bWysVF1v2yAUfZ+0/4B4T/1Ru0msOlUVx9Ok&#10;ba3U7QcQg2M0DAxInG7af98FO1mzvkzT/IAvXLicc++53N4de4EOzFiuZImTqxgjJhtFudyV+Mvn&#10;erbAyDoiKRFKshI/M4vvVm/f3A66YKnqlKDMIAgibTHoEnfO6SKKbNOxntgrpZkEZ6tMTxxMzS6i&#10;hgwQvRdRGsc30aAM1UY1zFpYrUYnXoX4bcsa99C2ljkkSgzYXBhNGLd+jFa3pNgZojveTDDIP6Do&#10;CZdw6TlURRxBe8Nfhep5Y5RVrbtqVB+ptuUNCxyATRL/weapI5oFLpAcq89psv8vbPPp8GgQpyWe&#10;pxhJ0kONHg5EoOXC52bQtoAtT/rReHZWf1DNV4ukWndE7ti9MWroGKGAKPH7o4sDfmLhKNoOHxWF&#10;yGTvVEjTsTW9DwgJQMdQjedzNdjRoQYW8zTOAQVqwHW9mM/jPNxAitNhbax7x1SPvFFiJgTX1ueL&#10;FOTwwTqPhxSnXX5ZqpoLEWouJBpKnC7yeR5OWCU49d7A0+y2a2EQJKLEdR3DN919sc2ovaQhms/B&#10;ZrId4WK04XYhfTygBHgma9TFj2W83Cw2i2yWpTebWRZX1ey+XmezmzqZ59V1tV5XyU8PLcmKjlPK&#10;pEd30miS/Z0Gpm4Z1XVW6QULe0m2hu812egSRsgssDr9A7tQfF/vUTdbRZ+h9kaNTQePBBidMt8x&#10;GqDhSmy/7YlhGIn3EvSzTLLMd2iYZPk8hYl56dm+9BDZQKgSO4xGc+3Grt5rw3cd3JSEskp1D5pr&#10;eRCD1+OIalIqNFVgMD0AvmtfzsOu38/U6hcAAAD//wMAUEsDBBQABgAIAAAAIQDoVCM84AAAAAoB&#10;AAAPAAAAZHJzL2Rvd25yZXYueG1sTI/BToNAEIbvJr7DZky82YUmthRZGqLRi4mm1TQ9LuwUUHaW&#10;sAtFn97xpMeZ+fLP92fb2XZiwsG3jhTEiwgEUuVMS7WC97fHmwSED5qM7hyhgi/0sM0vLzKdGnem&#10;HU77UAsOIZ9qBU0IfSqlrxq02i9cj8S3kxusDjwOtTSDPnO47eQyilbS6pb4Q6N7vG+w+tyPVkEx&#10;fT/p1/a5vB1dMh9P8qE4vHwodX01F3cgAs7hD4ZffVaHnJ1KN5LxolOwTjYxowpWEVdgIFnHvCiZ&#10;XMYbkHkm/1fIfwAAAP//AwBQSwECLQAUAAYACAAAACEAtoM4kv4AAADhAQAAEwAAAAAAAAAAAAAA&#10;AAAAAAAAW0NvbnRlbnRfVHlwZXNdLnhtbFBLAQItABQABgAIAAAAIQA4/SH/1gAAAJQBAAALAAAA&#10;AAAAAAAAAAAAAC8BAABfcmVscy8ucmVsc1BLAQItABQABgAIAAAAIQByJ7GDdAIAAO4EAAAOAAAA&#10;AAAAAAAAAAAAAC4CAABkcnMvZTJvRG9jLnhtbFBLAQItABQABgAIAAAAIQDoVCM84AAAAAoBAAAP&#10;AAAAAAAAAAAAAAAAAM4EAABkcnMvZG93bnJldi54bWxQSwUGAAAAAAQABADzAAAA2wUAAAAA&#10;" filled="f" strokecolor="red" strokeweight="2.25pt"/>
            </w:pict>
          </mc:Fallback>
        </mc:AlternateContent>
      </w:r>
      <w:r>
        <w:rPr>
          <w:rFonts w:asciiTheme="minorHAnsi" w:hAnsiTheme="minorHAnsi" w:cstheme="minorHAnsi"/>
          <w:noProof/>
          <w:szCs w:val="20"/>
          <w:lang w:eastAsia="fr-BE"/>
        </w:rPr>
        <w:drawing>
          <wp:inline distT="0" distB="0" distL="0" distR="0">
            <wp:extent cx="5090400" cy="1800000"/>
            <wp:effectExtent l="19050" t="19050" r="15240" b="10160"/>
            <wp:docPr id="41" name="Image 41" descr="confirmation ajout fich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nfirmation ajout fichie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90400" cy="180000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Il ne vous reste plus qu’à cliquer sur « Ok » et votre document est ajouté.</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Cette action présente néanmoins le désavantage de devoir ajouter les documents un à un. Si vous souhaitez ajouter une série de documents, cette opération peut rapidement devenir fastidieuse.</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La deuxième possibilité qui s’offre à vous, beaucoup plus pratique, est d’utiliser le lien CIFS.</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Qu’est-ce qu’un lien CIFS ?</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 lien CIFS vous permettra de gérer votre dossier personnel comme si vous étiez dans le navigateur Windows.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Afin d’actionner le lien CIFS, il suffit d’aller cliquer sur les petite menottes situées dans la colonne « Actions » à droite du dossier dans lequel vous souhaitez ajouter du contenu :</w:t>
      </w:r>
    </w:p>
    <w:p>
      <w:pPr>
        <w:spacing w:after="120" w:line="276" w:lineRule="auto"/>
        <w:jc w:val="center"/>
        <w:rPr>
          <w:rFonts w:asciiTheme="minorHAnsi" w:hAnsiTheme="minorHAnsi" w:cstheme="minorHAnsi"/>
          <w:sz w:val="20"/>
          <w:szCs w:val="20"/>
        </w:rPr>
      </w:pPr>
      <w:r>
        <w:rPr>
          <w:rFonts w:asciiTheme="minorHAnsi" w:hAnsiTheme="minorHAnsi" w:cstheme="minorHAnsi"/>
          <w:noProof/>
          <w:sz w:val="20"/>
          <w:szCs w:val="20"/>
          <w:lang w:eastAsia="fr-BE"/>
        </w:rPr>
        <mc:AlternateContent>
          <mc:Choice Requires="wps">
            <w:drawing>
              <wp:anchor distT="0" distB="0" distL="114300" distR="114300" simplePos="0" relativeHeight="251671552" behindDoc="0" locked="0" layoutInCell="1" allowOverlap="1">
                <wp:simplePos x="0" y="0"/>
                <wp:positionH relativeFrom="column">
                  <wp:posOffset>2699282</wp:posOffset>
                </wp:positionH>
                <wp:positionV relativeFrom="paragraph">
                  <wp:posOffset>1613891</wp:posOffset>
                </wp:positionV>
                <wp:extent cx="2033956" cy="936345"/>
                <wp:effectExtent l="38100" t="19050" r="23495" b="54610"/>
                <wp:wrapNone/>
                <wp:docPr id="71"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33956" cy="936345"/>
                        </a:xfrm>
                        <a:prstGeom prst="line">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0" o:spid="_x0000_s1026" style="position:absolute;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2.55pt,127.1pt" to="372.7pt,20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uMfOQIAAF0EAAAOAAAAZHJzL2Uyb0RvYy54bWysVMGO2jAQvVfqP1i+QxIILESEVUWgPdAt&#10;0m4/wNgOserYlm0IqOq/d2yybGkvVdUcnHE8fvPmzUwWj+dWohO3TmhV4myYYsQV1UyoQ4m/vmwG&#10;M4ycJ4oRqRUv8YU7/Lh8/27RmYKPdKMl4xYBiHJFZ0rceG+KJHG04S1xQ224gsNa25Z42NpDwizp&#10;AL2VyShNp0mnLTNWU+4cfK2uh3gZ8euaU/+lrh33SJYYuPm42rjuw5osF6Q4WGIaQXsa5B9YtEQo&#10;CHqDqogn6GjFH1CtoFY7Xfsh1W2i61pQHnOAbLL0t2yeG2J4zAXEceYmk/t/sPTptLNIsBI/ZBgp&#10;0kKNtkJxlKVRnM64AnxWamdDevSsns1W028OKb1qiDrwSPLlYuBiFuRM7q6EjTMQYt991gx8yNHr&#10;qNS5ti2qpTCfwsUADmqgcyzN5VYafvaIwsdROh7PJ1OMKJzNx9NxPonBSBFwwm1jnf/IdYuCUWIJ&#10;SURUcto6H3i9uQR3pTdCylh+qVBX4slDNknjDaelYOE0+Dl72K+kRScCHbTZpPD0ge/crD4qFtEa&#10;Tti6tz0REmzkozzeChBMchzCtZxhJDkMTbCu/KQKESFlYNxb1yb6Pk/n69l6lg/y0XQ9yNOqGnzY&#10;rPLBdJM9TKpxtVpV2Y9APsuLRjDGVeD/2tBZ/ncN04/WtRVvLX1TKrlHj5IC2dd3JB2rHwoeJtAV&#10;e80uOxuyCzvo4ejcz1sYkl/30evtr7D8CQAA//8DAFBLAwQUAAYACAAAACEABk14Et8AAAALAQAA&#10;DwAAAGRycy9kb3ducmV2LnhtbEyPQU+EMBCF7yb+h2ZMvLktBFxFysZgNnjUdRPjrdAKRDolbZfF&#10;f+940uPkfXnvm3K32oktxofRoYRkI4AZ7JwesZdwfNvf3AELUaFWk0Mj4dsE2FWXF6UqtDvjq1kO&#10;sWdUgqFQEoYY54Lz0A3GqrBxs0HKPp23KtLpe669OlO5nXgqxC23akRaGNRs6sF0X4eTlaCf3lfb&#10;7ZtavNRqOX745r59bqS8vlofH4BFs8Y/GH71SR0qcmrdCXVgk4QszRNCJaR5lgIjYpvlGbCWIpFs&#10;gVcl//9D9QMAAP//AwBQSwECLQAUAAYACAAAACEAtoM4kv4AAADhAQAAEwAAAAAAAAAAAAAAAAAA&#10;AAAAW0NvbnRlbnRfVHlwZXNdLnhtbFBLAQItABQABgAIAAAAIQA4/SH/1gAAAJQBAAALAAAAAAAA&#10;AAAAAAAAAC8BAABfcmVscy8ucmVsc1BLAQItABQABgAIAAAAIQDuIuMfOQIAAF0EAAAOAAAAAAAA&#10;AAAAAAAAAC4CAABkcnMvZTJvRG9jLnhtbFBLAQItABQABgAIAAAAIQAGTXgS3wAAAAsBAAAPAAAA&#10;AAAAAAAAAAAAAJMEAABkcnMvZG93bnJldi54bWxQSwUGAAAAAAQABADzAAAAnwUAAAAA&#10;" strokecolor="red" strokeweight="4.5pt">
                <v:stroke endarrow="block"/>
              </v:line>
            </w:pict>
          </mc:Fallback>
        </mc:AlternateContent>
      </w:r>
      <w:r>
        <w:rPr>
          <w:rFonts w:asciiTheme="minorHAnsi" w:hAnsiTheme="minorHAnsi" w:cstheme="minorHAnsi"/>
          <w:noProof/>
          <w:sz w:val="20"/>
          <w:szCs w:val="20"/>
          <w:lang w:eastAsia="fr-BE"/>
        </w:rPr>
        <mc:AlternateContent>
          <mc:Choice Requires="wps">
            <w:drawing>
              <wp:anchor distT="0" distB="0" distL="114300" distR="114300" simplePos="0" relativeHeight="251670528" behindDoc="0" locked="0" layoutInCell="1" allowOverlap="1">
                <wp:simplePos x="0" y="0"/>
                <wp:positionH relativeFrom="column">
                  <wp:posOffset>4446677</wp:posOffset>
                </wp:positionH>
                <wp:positionV relativeFrom="paragraph">
                  <wp:posOffset>13970</wp:posOffset>
                </wp:positionV>
                <wp:extent cx="952500" cy="1577340"/>
                <wp:effectExtent l="20320" t="15875" r="17780" b="16510"/>
                <wp:wrapNone/>
                <wp:docPr id="70" name="Oval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157734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9" o:spid="_x0000_s1026" style="position:absolute;margin-left:350.15pt;margin-top:1.1pt;width:75pt;height:124.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CPMdgIAAO8EAAAOAAAAZHJzL2Uyb0RvYy54bWysVNuO2yAQfa/Uf0C8J7azdi7WOqtVHFeV&#10;tt2Vtv0AYnCMioECibOt9t874CRNui9VVT/ggYHDnJkz3N4dOoH2zFiuZIGTcYwRk7WiXG4L/PVL&#10;NZpjZB2RlAglWYFfmMV3y/fvbnuds4lqlaDMIACRNu91gVvndB5Ftm5ZR+xYaSbB2SjTEQdTs42o&#10;IT2gdyKaxPE06pWh2qiaWQur5eDEy4DfNKx2j01jmUOiwBCbC6MJ48aP0fKW5FtDdMvrYxjkH6Lo&#10;CJdw6RmqJI6gneFvoDpeG2VV48a16iLVNLxmgQOwSeI/2Dy3RLPABZJj9TlN9v/B1p/3TwZxWuAZ&#10;pEeSDmr0uCcCLRY+N722OWx51k/Gs7P6QdXfLJJq1RK5ZffGqL5lhEJEid8fXR3wEwtH0ab/pCgg&#10;k51TIU2HxnQeEBKADqEaL+dqsINDNSwuskkWQ1A1uJJsNrtJQ7kikp9Oa2PdB6Y65I0CMyG4tj5h&#10;JCf7B+t8QCQ/7fLLUlVciFB0IVFf4Mk8m2XhhFWCU+8NRM12sxIGQSYKXFUxfIEepOBym1E7SQOa&#10;T8L6aDvCxWDD7UJ6POAE8RytQRg/F/FiPV/P01E6ma5HaVyWo/tqlY6mVTLLyptytSqTVx9akuYt&#10;p5RJH91JpEn6dyI4tssgr7NMr1jYa7IVfG/JRtdhhMwCq9M/sAvV9wUfhLNR9AWKb9TQdfBKgNEq&#10;8wOjHjquwPb7jhiGkfgoQUCLJIUKIxcmaTabwMRcejaXHiJrgCqww2gwV25o6502fNvCTUkoq1T3&#10;ILqGBzF4QQ5RHaUKXRUYHF8A37aX87Dr9zu1/AUAAP//AwBQSwMEFAAGAAgAAAAhAIfhCBLeAAAA&#10;CQEAAA8AAABkcnMvZG93bnJldi54bWxMj0FPhDAQhe8m/odmTLy5rRhWwlI2RKMXE42rMXssMAso&#10;nRJaWPTXO3vS45f38uabbLvYXsw4+s6RhuuVAoFUubqjRsP728NVAsIHQ7XpHaGGb/Swzc/PMpPW&#10;7kivOO9CI3iEfGo0tCEMqZS+atEav3IDEmcHN1oTGMdG1qM58rjtZaTUWlrTEV9ozYB3LVZfu8lq&#10;KOafR/PSPZXx5JJlf5D3xcfzp9aXF0uxARFwCX9lOOmzOuTsVLqJai96DbdK3XBVQxSB4DyJT1wy&#10;x2oNMs/k/w/yXwAAAP//AwBQSwECLQAUAAYACAAAACEAtoM4kv4AAADhAQAAEwAAAAAAAAAAAAAA&#10;AAAAAAAAW0NvbnRlbnRfVHlwZXNdLnhtbFBLAQItABQABgAIAAAAIQA4/SH/1gAAAJQBAAALAAAA&#10;AAAAAAAAAAAAAC8BAABfcmVscy8ucmVsc1BLAQItABQABgAIAAAAIQDf2CPMdgIAAO8EAAAOAAAA&#10;AAAAAAAAAAAAAC4CAABkcnMvZTJvRG9jLnhtbFBLAQItABQABgAIAAAAIQCH4QgS3gAAAAkBAAAP&#10;AAAAAAAAAAAAAAAAANAEAABkcnMvZG93bnJldi54bWxQSwUGAAAAAAQABADzAAAA2wUAAAAA&#10;" filled="f" strokecolor="red" strokeweight="2.25pt"/>
            </w:pict>
          </mc:Fallback>
        </mc:AlternateContent>
      </w:r>
      <w:r>
        <w:rPr>
          <w:rFonts w:asciiTheme="minorHAnsi" w:hAnsiTheme="minorHAnsi" w:cstheme="minorHAnsi"/>
          <w:noProof/>
          <w:sz w:val="20"/>
          <w:szCs w:val="20"/>
          <w:lang w:eastAsia="fr-BE"/>
        </w:rPr>
        <w:drawing>
          <wp:inline distT="0" distB="0" distL="0" distR="0">
            <wp:extent cx="5482800" cy="1472400"/>
            <wp:effectExtent l="19050" t="19050" r="22860" b="13970"/>
            <wp:docPr id="42" name="Image 42" descr="Dossiers part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ossiers partage"/>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82800" cy="1472400"/>
                    </a:xfrm>
                    <a:prstGeom prst="rect">
                      <a:avLst/>
                    </a:prstGeom>
                    <a:noFill/>
                    <a:ln w="6350" cmpd="sng">
                      <a:solidFill>
                        <a:srgbClr val="000000"/>
                      </a:solidFill>
                      <a:miter lim="800000"/>
                      <a:headEnd/>
                      <a:tailEnd/>
                    </a:ln>
                    <a:effectLst/>
                  </pic:spPr>
                </pic:pic>
              </a:graphicData>
            </a:graphic>
          </wp:inline>
        </w:drawing>
      </w:r>
    </w:p>
    <w:p>
      <w:pPr>
        <w:spacing w:line="276" w:lineRule="auto"/>
        <w:jc w:val="center"/>
        <w:rPr>
          <w:rFonts w:asciiTheme="minorHAnsi" w:hAnsiTheme="minorHAnsi" w:cstheme="minorHAnsi"/>
          <w:sz w:val="20"/>
          <w:szCs w:val="20"/>
        </w:rPr>
      </w:pPr>
      <w:r>
        <w:rPr>
          <w:rFonts w:asciiTheme="minorHAnsi" w:hAnsiTheme="minorHAnsi" w:cstheme="minorHAnsi"/>
          <w:noProof/>
          <w:sz w:val="20"/>
          <w:szCs w:val="20"/>
          <w:lang w:eastAsia="fr-BE"/>
        </w:rPr>
        <mc:AlternateContent>
          <mc:Choice Requires="wps">
            <w:drawing>
              <wp:anchor distT="0" distB="0" distL="114300" distR="114300" simplePos="0" relativeHeight="251672576" behindDoc="0" locked="0" layoutInCell="1" allowOverlap="1">
                <wp:simplePos x="0" y="0"/>
                <wp:positionH relativeFrom="column">
                  <wp:posOffset>3670960</wp:posOffset>
                </wp:positionH>
                <wp:positionV relativeFrom="paragraph">
                  <wp:posOffset>1631849</wp:posOffset>
                </wp:positionV>
                <wp:extent cx="520700" cy="450850"/>
                <wp:effectExtent l="22225" t="17145" r="19050" b="17780"/>
                <wp:wrapNone/>
                <wp:docPr id="69" name="Oval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700" cy="45085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1" o:spid="_x0000_s1026" style="position:absolute;margin-left:289.05pt;margin-top:128.5pt;width:41pt;height:3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DHIdQIAAO8EAAAOAAAAZHJzL2Uyb0RvYy54bWysVNuO2yAQfa/Uf0C8J7ZTOxdrndUqjqtK&#10;2+5K234AwThGxUCBxEmr/nsHnKRJ96Wq6gc8wwyHOXPh7v7QCbRnxnIlC5yMY4yYpKrmclvgL5+r&#10;0Rwj64isiVCSFfjILL5fvn1z1+ucTVSrRM0MAhBp814XuHVO51Fkacs6YsdKMwnGRpmOOFDNNqoN&#10;6QG9E9EkjqdRr0ytjaLMWtgtByNeBvymYdQ9NY1lDokCQ2wurCasG79GyzuSbw3RLaenMMg/RNER&#10;LuHSC1RJHEE7w19BdZwaZVXjxlR1kWoaTlngAGyS+A82Ly3RLHCB5Fh9SZP9f7D00/7ZIF4XeLrA&#10;SJIOavS0JwIlceKT02ubg8+LfjaentWPin61SKpVS+SWPRij+paRGkIK/tHNAa9YOIo2/UdVAzTZ&#10;ORXydGhM5wEhA+gQynG8lIMdHKKwmU3iWQxFo2BKs3iehXJFJD8f1sa690x1yAsFZkJwbX3CSE72&#10;j9ZB/OB99vLbUlVciFB0IVFf4Mk8m2XhhFWC194aeJrtZiUMgkwUuKpi+Hw2AO3GzaidrAOaz8H6&#10;JDvCxSCDv5AeDyhBPCdpaIwfi3ixnq/n6SidTNejNC7L0UO1SkfTKpll5btytSqTnz60JM1bXtdM&#10;+ujOTZqkf9cEp3EZ2uvSpjcs7C3ZCr7XZKPbMEIugNX5H9iF4vt6D32zUfURam/UMHXwSoDQKvMd&#10;ox4mrsD2244YhpH4IKF/Fkma+hENSprNJqCYa8vm2kIkBagCO4wGceWGsd5pw7ct3JSEskr1AD3X&#10;8NAMvh+HqCBur8BUBQanF8CP7bUevH6/U8tfAAAA//8DAFBLAwQUAAYACAAAACEAJSDKr+EAAAAL&#10;AQAADwAAAGRycy9kb3ducmV2LnhtbEyPwU6EMBCG7ya+QzMm3tx2MbAEKRui0YuJZlez2WOhs4DS&#10;ltDCok/veNLjzHz55/vz7WJ6NuPoO2clrFcCGNra6c42Et7fHm9SYD4oq1XvLEr4Qg/b4vIiV5l2&#10;Z7vDeR8aRiHWZ0pCG8KQce7rFo3yKzegpdvJjUYFGseG61GdKdz0PBIi4UZ1lj60asD7FuvP/WQk&#10;lPP3k3rtnqt4culyPPGH8vDyIeX11VLeAQu4hD8YfvVJHQpyqtxktWe9hHiTrgmVEMUbKkVEkgja&#10;VBJuo1QAL3L+v0PxAwAA//8DAFBLAQItABQABgAIAAAAIQC2gziS/gAAAOEBAAATAAAAAAAAAAAA&#10;AAAAAAAAAABbQ29udGVudF9UeXBlc10ueG1sUEsBAi0AFAAGAAgAAAAhADj9If/WAAAAlAEAAAsA&#10;AAAAAAAAAAAAAAAALwEAAF9yZWxzLy5yZWxzUEsBAi0AFAAGAAgAAAAhABYMMch1AgAA7wQAAA4A&#10;AAAAAAAAAAAAAAAALgIAAGRycy9lMm9Eb2MueG1sUEsBAi0AFAAGAAgAAAAhACUgyq/hAAAACwEA&#10;AA8AAAAAAAAAAAAAAAAAzwQAAGRycy9kb3ducmV2LnhtbFBLBQYAAAAABAAEAPMAAADdBQAAAAA=&#10;" filled="f" strokecolor="red" strokeweight="2.25pt"/>
            </w:pict>
          </mc:Fallback>
        </mc:AlternateContent>
      </w:r>
      <w:r>
        <w:rPr>
          <w:rFonts w:asciiTheme="minorHAnsi" w:hAnsiTheme="minorHAnsi" w:cstheme="minorHAnsi"/>
          <w:noProof/>
          <w:sz w:val="20"/>
          <w:szCs w:val="20"/>
          <w:lang w:eastAsia="fr-BE"/>
        </w:rPr>
        <w:drawing>
          <wp:inline distT="0" distB="0" distL="0" distR="0">
            <wp:extent cx="1045210" cy="2101850"/>
            <wp:effectExtent l="19050" t="19050" r="21590" b="12700"/>
            <wp:docPr id="43" name="Image 43" descr="Zoom 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Zoom Actions"/>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45210" cy="2101850"/>
                    </a:xfrm>
                    <a:prstGeom prst="rect">
                      <a:avLst/>
                    </a:prstGeom>
                    <a:noFill/>
                    <a:ln w="6350" cmpd="sng">
                      <a:solidFill>
                        <a:srgbClr val="000000"/>
                      </a:solidFill>
                      <a:miter lim="800000"/>
                      <a:headEnd/>
                      <a:tailEnd/>
                    </a:ln>
                    <a:effectLst/>
                  </pic:spPr>
                </pic:pic>
              </a:graphicData>
            </a:graphic>
          </wp:inline>
        </w:drawing>
      </w:r>
      <w:r>
        <w:rPr>
          <w:rFonts w:asciiTheme="minorHAnsi" w:hAnsiTheme="minorHAnsi" w:cstheme="minorHAnsi"/>
          <w:sz w:val="20"/>
          <w:szCs w:val="20"/>
        </w:rPr>
        <w:tab/>
      </w:r>
      <w:r>
        <w:rPr>
          <w:rFonts w:asciiTheme="minorHAnsi" w:hAnsiTheme="minorHAnsi" w:cstheme="minorHAnsi"/>
          <w:noProof/>
          <w:sz w:val="20"/>
          <w:szCs w:val="20"/>
          <w:lang w:eastAsia="fr-BE"/>
        </w:rPr>
        <w:drawing>
          <wp:inline distT="0" distB="0" distL="0" distR="0">
            <wp:extent cx="1543685" cy="653415"/>
            <wp:effectExtent l="19050" t="19050" r="18415" b="13335"/>
            <wp:docPr id="44" name="Image 44" descr="menottes CI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enottes CIF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43685" cy="653415"/>
                    </a:xfrm>
                    <a:prstGeom prst="rect">
                      <a:avLst/>
                    </a:prstGeom>
                    <a:noFill/>
                    <a:ln w="6350" cmpd="sng">
                      <a:solidFill>
                        <a:srgbClr val="000000"/>
                      </a:solidFill>
                      <a:miter lim="800000"/>
                      <a:headEnd/>
                      <a:tailEnd/>
                    </a:ln>
                    <a:effectLst/>
                  </pic:spPr>
                </pic:pic>
              </a:graphicData>
            </a:graphic>
          </wp:inline>
        </w:drawing>
      </w:r>
    </w:p>
    <w:p>
      <w:pPr>
        <w:spacing w:line="276" w:lineRule="auto"/>
        <w:rPr>
          <w:rFonts w:asciiTheme="minorHAnsi" w:hAnsiTheme="minorHAnsi" w:cstheme="minorHAnsi"/>
          <w:sz w:val="22"/>
          <w:szCs w:val="22"/>
        </w:rPr>
      </w:pPr>
      <w:r>
        <w:rPr>
          <w:rFonts w:asciiTheme="minorHAnsi" w:hAnsiTheme="minorHAnsi" w:cstheme="minorHAnsi"/>
          <w:sz w:val="22"/>
          <w:szCs w:val="22"/>
        </w:rPr>
        <w:br w:type="page"/>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Une fois que vous avez cliqué sur le symbole des menottes, la fenêtre suivante s’ouvre :</w:t>
      </w:r>
    </w:p>
    <w:p>
      <w:pPr>
        <w:spacing w:after="120" w:line="276" w:lineRule="auto"/>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73600" behindDoc="0" locked="0" layoutInCell="1" allowOverlap="1">
                <wp:simplePos x="0" y="0"/>
                <wp:positionH relativeFrom="column">
                  <wp:posOffset>346507</wp:posOffset>
                </wp:positionH>
                <wp:positionV relativeFrom="paragraph">
                  <wp:posOffset>667309</wp:posOffset>
                </wp:positionV>
                <wp:extent cx="2369820" cy="259080"/>
                <wp:effectExtent l="16510" t="22225" r="23495" b="23495"/>
                <wp:wrapNone/>
                <wp:docPr id="68" name="Oval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9820" cy="25908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2" o:spid="_x0000_s1026" style="position:absolute;margin-left:27.3pt;margin-top:52.55pt;width:186.6pt;height:20.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tNjdgIAAPAEAAAOAAAAZHJzL2Uyb0RvYy54bWysVNuO2yAQfa/Uf0C8J76sk02sdVarOK4q&#10;bbsrbfsBxOAYFQMFEiet9t874CRNui9VVT/ggYHDnDkz3N3vO4F2zFiuZIGTcYwRk7WiXG4K/PVL&#10;NZphZB2RlAglWYEPzOL7xft3d73OWapaJSgzCECkzXtd4NY5nUeRrVvWETtWmklwNsp0xMHUbCJq&#10;SA/onYjSOJ5GvTJUG1Uza2G1HJx4EfCbhtXuqWksc0gUGGJzYTRhXPsxWtyRfGOIbnl9DIP8QxQd&#10;4RIuPUOVxBG0NfwNVMdro6xq3LhWXaSahtcscAA2SfwHm5eWaBa4QHKsPqfJ/j/Y+vPu2SBOCzwF&#10;pSTpQKOnHREoiVOfnF7bHPa86Gfj6Vn9qOpvFkm1bIncsAdjVN8yQiGkxO+Prg74iYWjaN1/UhSg&#10;ydapkKd9YzoPCBlA+yDH4SwH2ztUw2J6M53PUlCtBl86mcezoFdE8tNpbaz7wFSHvFFgJgTX1meM&#10;5GT3aJ0PiOSnXX5ZqooLEVQXEvWAO5vcTsIJqwSn3huIms16KQyCVBS4qmL4Aj1IweU2o7aSBjSf&#10;hNXRdoSLwYbbhfR4wAniOVpDZfycx/PVbDXLRlk6XY2yuCxHD9UyG02r5HZS3pTLZZm8+tCSLG85&#10;pUz66E5VmmR/VwXHfhnq61ynVyzsNdkKvrdko+swQmaB1ekf2AX1veBD4awVPYD4Rg1tB88EGK0y&#10;PzDqoeUKbL9viWEYiY8SCmieZJnv0TDJJrdeenPpWV96iKwBqsAOo8FcuqGvt9rwTQs3JUFWqR6g&#10;6BoeisEX5BDVsVShrQKD4xPg+/ZyHnb9fqgWvwAAAP//AwBQSwMEFAAGAAgAAAAhAF3SRzjgAAAA&#10;CgEAAA8AAABkcnMvZG93bnJldi54bWxMj01Pg0AQhu8m/ofNmHizSxuoLbI0RKMXE43VNB4Hdgoo&#10;u0vYhaK/3vGkx3nnyfuR7WbTiYkG3zqrYLmIQJCtnG5treDt9f5qA8IHtBo7Z0nBF3nY5ednGaba&#10;newLTftQCzaxPkUFTQh9KqWvGjLoF64ny7+jGwwGPoda6gFPbG46uYqitTTYWk5osKfbhqrP/WgU&#10;FNP3Az63j2Uyus38fpR3xeHpQ6nLi7m4ARFoDn8w/Nbn6pBzp9KNVnvRKUjiNZOsR8kSBAPx6pq3&#10;lKzEyRZknsn/E/IfAAAA//8DAFBLAQItABQABgAIAAAAIQC2gziS/gAAAOEBAAATAAAAAAAAAAAA&#10;AAAAAAAAAABbQ29udGVudF9UeXBlc10ueG1sUEsBAi0AFAAGAAgAAAAhADj9If/WAAAAlAEAAAsA&#10;AAAAAAAAAAAAAAAALwEAAF9yZWxzLy5yZWxzUEsBAi0AFAAGAAgAAAAhAFOe02N2AgAA8AQAAA4A&#10;AAAAAAAAAAAAAAAALgIAAGRycy9lMm9Eb2MueG1sUEsBAi0AFAAGAAgAAAAhAF3SRzjgAAAACgEA&#10;AA8AAAAAAAAAAAAAAAAA0AQAAGRycy9kb3ducmV2LnhtbFBLBQYAAAAABAAEAPMAAADdBQAAAAA=&#10;" filled="f" strokecolor="red" strokeweight="2.25pt"/>
            </w:pict>
          </mc:Fallback>
        </mc:AlternateContent>
      </w:r>
      <w:r>
        <w:rPr>
          <w:rFonts w:asciiTheme="minorHAnsi" w:hAnsiTheme="minorHAnsi" w:cstheme="minorHAnsi"/>
          <w:noProof/>
          <w:szCs w:val="20"/>
          <w:lang w:eastAsia="fr-BE"/>
        </w:rPr>
        <w:drawing>
          <wp:inline distT="0" distB="0" distL="0" distR="0">
            <wp:extent cx="5753735" cy="1270635"/>
            <wp:effectExtent l="19050" t="19050" r="18415" b="24765"/>
            <wp:docPr id="45" name="Image 45" descr="Lien CI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Lien CIFS"/>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735" cy="1270635"/>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Il vous suffit alors de sélectionner l’adresse du lien CIFS et de la copier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75648" behindDoc="0" locked="0" layoutInCell="1" allowOverlap="1">
                <wp:simplePos x="0" y="0"/>
                <wp:positionH relativeFrom="column">
                  <wp:posOffset>3518585</wp:posOffset>
                </wp:positionH>
                <wp:positionV relativeFrom="paragraph">
                  <wp:posOffset>312777</wp:posOffset>
                </wp:positionV>
                <wp:extent cx="1001598" cy="833932"/>
                <wp:effectExtent l="38100" t="19050" r="46355" b="61595"/>
                <wp:wrapNone/>
                <wp:docPr id="67" name="Lin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01598" cy="833932"/>
                        </a:xfrm>
                        <a:prstGeom prst="line">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4"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05pt,24.65pt" to="355.9pt,9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kBOOQIAAF0EAAAOAAAAZHJzL2Uyb0RvYy54bWysVMGO2jAQvVfqP1i+QxIILESEVUWgPdAt&#10;0m4/wNgOserYlm0IqOq/d2yybGkvVdUcnHE88+bNzHMWj+dWohO3TmhV4myYYsQV1UyoQ4m/vmwG&#10;M4ycJ4oRqRUv8YU7/Lh8/27RmYKPdKMl4xYBiHJFZ0rceG+KJHG04S1xQ224gsNa25Z42NpDwizp&#10;AL2VyShNp0mnLTNWU+4cfK2uh3gZ8euaU/+lrh33SJYYuPm42rjuw5osF6Q4WGIaQXsa5B9YtEQo&#10;SHqDqogn6GjFH1CtoFY7Xfsh1W2i61pQHmuAarL0t2qeG2J4rAWa48ytTe7/wdKn084iwUo8fcBI&#10;kRZmtBWKoyzNQ3M64wrwWamdDeXRs3o2W02/OaT0qiHqwCPJl4uBwCxEJHchYeMMpNh3nzUDH3L0&#10;OnbqXNsW1VKYTyEwgEM30DmO5nIbDT97ROFjlqbZZA5ionA2G4/n41FMRoqAE6KNdf4j1y0KRokl&#10;FBFRyWnrfOD15hLcld4IKeP4pUJdiScP2SSNEU5LwcJp8HP2sF9Ji04EFLTZpPD0ie/crD4qFtEa&#10;Tti6tz0REmzkY3u8FdAwyXFI13KGkeRwaYJ15SdVyAglA+Peuoro+zydr2frWT7IR9P1IE+ravBh&#10;s8oH0032MKnG1WpVZT8C+SwvGsEYV4H/q6Cz/O8E01+tqxRvkr51KrlHjy0Fsq/vSDpOPwz8Kp29&#10;ZpedDdUFIYCGo3N/38Il+XUfvd7+CsufAAAA//8DAFBLAwQUAAYACAAAACEAXHITUd8AAAAKAQAA&#10;DwAAAGRycy9kb3ducmV2LnhtbEyPwU7DMBBE70j8g7VI3KgdaEsb4lQoqApHKJUQt028JBGxHcVu&#10;Gv6e5QTH1T7NvMl2s+3FRGPovNOQLBQIcrU3nWs0HN/2NxsQIaIz2HtHGr4pwC6/vMgwNf7sXmk6&#10;xEZwiAspamhjHFIpQ92SxbDwAzn+ffrRYuRzbKQZ8czhtpe3Sq2lxc5xQ4sDFS3VX4eT1WCe3mdb&#10;78tCvRQ4HT/Gcls9l1pfX82PDyAizfEPhl99VoecnSp/ciaIXsNqtUwY1bDc3oFg4D5JeEvF5Eat&#10;QeaZ/D8h/wEAAP//AwBQSwECLQAUAAYACAAAACEAtoM4kv4AAADhAQAAEwAAAAAAAAAAAAAAAAAA&#10;AAAAW0NvbnRlbnRfVHlwZXNdLnhtbFBLAQItABQABgAIAAAAIQA4/SH/1gAAAJQBAAALAAAAAAAA&#10;AAAAAAAAAC8BAABfcmVscy8ucmVsc1BLAQItABQABgAIAAAAIQDgVkBOOQIAAF0EAAAOAAAAAAAA&#10;AAAAAAAAAC4CAABkcnMvZTJvRG9jLnhtbFBLAQItABQABgAIAAAAIQBcchNR3wAAAAoBAAAPAAAA&#10;AAAAAAAAAAAAAJMEAABkcnMvZG93bnJldi54bWxQSwUGAAAAAAQABADzAAAAnwUAAAAA&#10;" strokecolor="red" strokeweight="4.5pt">
                <v:stroke endarrow="block"/>
              </v:line>
            </w:pict>
          </mc:Fallback>
        </mc:AlternateContent>
      </w:r>
      <w:r>
        <w:rPr>
          <w:rFonts w:asciiTheme="minorHAnsi" w:hAnsiTheme="minorHAnsi" w:cstheme="minorHAnsi"/>
          <w:noProof/>
          <w:szCs w:val="20"/>
          <w:lang w:eastAsia="fr-BE"/>
        </w:rPr>
        <w:drawing>
          <wp:inline distT="0" distB="0" distL="0" distR="0">
            <wp:extent cx="5260975" cy="403860"/>
            <wp:effectExtent l="19050" t="19050" r="15875" b="15240"/>
            <wp:docPr id="46" name="Image 46" descr="zoom lien CI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zoom lien CIF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60975" cy="40386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Et d’aller la coller dans la barre d’adresse du navigateur Windows et de pousser sur Enter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74624" behindDoc="0" locked="0" layoutInCell="1" allowOverlap="1">
                <wp:simplePos x="0" y="0"/>
                <wp:positionH relativeFrom="column">
                  <wp:posOffset>628447</wp:posOffset>
                </wp:positionH>
                <wp:positionV relativeFrom="paragraph">
                  <wp:posOffset>174142</wp:posOffset>
                </wp:positionV>
                <wp:extent cx="2872740" cy="312420"/>
                <wp:effectExtent l="14605" t="16510" r="17780" b="23495"/>
                <wp:wrapNone/>
                <wp:docPr id="66" name="Oval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2740" cy="31242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3" o:spid="_x0000_s1026" style="position:absolute;margin-left:49.5pt;margin-top:13.7pt;width:226.2pt;height:24.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fSdgIAAPAEAAAOAAAAZHJzL2Uyb0RvYy54bWysVNuO2yAQfa/Uf0C8Z32Jc1lrnVUUx1Wl&#10;bXelbT+AGByjYqBA4myr/fcOOEmT7ktV1Q94YGCYM+cMd/eHTqA9M5YrWeDkJsaIyVpRLrcF/vql&#10;Gs0xso5ISoSSrMAvzOL7xft3d73OWapaJSgzCIJIm/e6wK1zOo8iW7esI/ZGaSbB2SjTEQdTs42o&#10;IT1E70SUxvE06pWh2qiaWQur5eDEixC/aVjtHpvGModEgSE3F0YTxo0fo8UdybeG6JbXxzTIP2TR&#10;ES7h0nOokjiCdoa/CdXx2iirGndTqy5STcNrFjAAmiT+A81zSzQLWKA4Vp/LZP9f2Prz/skgTgs8&#10;nWIkSQccPe6JQEk89sXptc1hz7N+Mh6e1Q+q/maRVKuWyC1bGqP6lhEKKSV+f3R1wE8sHEWb/pOi&#10;EJrsnAp1OjSm8wGhAugQ6Hg508EODtWwmM5n6SwD1mrwjZM0SwNfEclPp7Wx7gNTHfJGgZkQXFtf&#10;MZKT/YN1PiGSn3b5ZakqLkRgXUjU+0sms0k4YZXg1HsDULPdrIRBUIoCV1UMX4AHJbjcZtRO0hDN&#10;F2F9tB3hYrDhdiF9PMAE+RytQRk/b+Pb9Xw9z0ZZOl2PsrgsR8tqlY2mVTKblONytSqTV59akuUt&#10;p5RJn91JpUn2dyo49sugr7NOr1DYa7AVfG/BRtdphMoCqtM/oAvse8IH4WwUfQHyjRraDp4JMFpl&#10;fmDUQ8sV2H7fEcMwEh8lCOg2yTzbLkyyyQzoRubSs7n0EFlDqAI7jAZz5Ya+3mnDty3clARapVqC&#10;6BoexOAFOWR1lCq0VUBwfAJ8317Ow67fD9XiFwAAAP//AwBQSwMEFAAGAAgAAAAhAIDps17gAAAA&#10;CAEAAA8AAABkcnMvZG93bnJldi54bWxMj0FPg0AQhe8m/ofNmHizSxuhLbI0RKMXExurMR4Hdgso&#10;O0vYhaK/3vGktzd5k/e+l+1m24nJDL51pGC5iEAYqpxuqVbw+nJ/tQHhA5LGzpFR8GU87PLzswxT&#10;7U70bKZDqAWHkE9RQRNCn0rpq8ZY9AvXG2Lv6AaLgc+hlnrAE4fbTq6iKJEWW+KGBntz25jq8zBa&#10;BcX0/YD79rGMR7eZ34/yrnh7+lDq8mIubkAEM4e/Z/jFZ3TImal0I2kvOgXbLU8JClbraxDsx/GS&#10;RalgnSQg80z+H5D/AAAA//8DAFBLAQItABQABgAIAAAAIQC2gziS/gAAAOEBAAATAAAAAAAAAAAA&#10;AAAAAAAAAABbQ29udGVudF9UeXBlc10ueG1sUEsBAi0AFAAGAAgAAAAhADj9If/WAAAAlAEAAAsA&#10;AAAAAAAAAAAAAAAALwEAAF9yZWxzLy5yZWxzUEsBAi0AFAAGAAgAAAAhAP/DF9J2AgAA8AQAAA4A&#10;AAAAAAAAAAAAAAAALgIAAGRycy9lMm9Eb2MueG1sUEsBAi0AFAAGAAgAAAAhAIDps17gAAAACAEA&#10;AA8AAAAAAAAAAAAAAAAA0AQAAGRycy9kb3ducmV2LnhtbFBLBQYAAAAABAAEAPMAAADdBQAAAAA=&#10;" filled="f" strokecolor="red" strokeweight="2.25pt"/>
            </w:pict>
          </mc:Fallback>
        </mc:AlternateContent>
      </w:r>
      <w:r>
        <w:rPr>
          <w:rFonts w:asciiTheme="minorHAnsi" w:hAnsiTheme="minorHAnsi" w:cstheme="minorHAnsi"/>
          <w:noProof/>
          <w:szCs w:val="20"/>
          <w:lang w:eastAsia="fr-BE"/>
        </w:rPr>
        <w:drawing>
          <wp:inline distT="0" distB="0" distL="0" distR="0">
            <wp:extent cx="5759450" cy="4987925"/>
            <wp:effectExtent l="19050" t="19050" r="12700" b="22225"/>
            <wp:docPr id="47" name="Image 47" descr="navigateur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navigateur windows"/>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9450" cy="4987925"/>
                    </a:xfrm>
                    <a:prstGeom prst="rect">
                      <a:avLst/>
                    </a:prstGeom>
                    <a:noFill/>
                    <a:ln w="6350" cmpd="sng">
                      <a:solidFill>
                        <a:srgbClr val="000000"/>
                      </a:solidFill>
                      <a:miter lim="800000"/>
                      <a:headEnd/>
                      <a:tailEnd/>
                    </a:ln>
                    <a:effectLst/>
                  </pic:spPr>
                </pic:pic>
              </a:graphicData>
            </a:graphic>
          </wp:inline>
        </w:drawing>
      </w:r>
    </w:p>
    <w:p>
      <w:pPr>
        <w:spacing w:line="276" w:lineRule="auto"/>
        <w:rPr>
          <w:rFonts w:asciiTheme="minorHAnsi" w:hAnsiTheme="minorHAnsi" w:cstheme="minorHAnsi"/>
          <w:sz w:val="22"/>
          <w:szCs w:val="22"/>
        </w:rPr>
      </w:pPr>
      <w:r>
        <w:rPr>
          <w:rFonts w:asciiTheme="minorHAnsi" w:hAnsiTheme="minorHAnsi" w:cstheme="minorHAnsi"/>
          <w:sz w:val="22"/>
          <w:szCs w:val="22"/>
        </w:rPr>
        <w:br w:type="page"/>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Vous avez alors accès à tous les dossiers dans votre navigateur et pouvez effectuer toutes les actions normales : copier/coller, ajouter plusieurs fichiers simultanément, renommer les documents, ajouter ou supprimer des dossiers, etc.</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Supprimer des fichiers/dossiers</w:t>
      </w:r>
    </w:p>
    <w:p>
      <w:pPr>
        <w:pStyle w:val="Paragraphedeliste"/>
        <w:spacing w:after="120" w:line="276" w:lineRule="auto"/>
        <w:ind w:left="0"/>
        <w:jc w:val="both"/>
        <w:rPr>
          <w:rFonts w:asciiTheme="minorHAnsi" w:hAnsiTheme="minorHAnsi" w:cstheme="minorHAnsi"/>
          <w:sz w:val="20"/>
          <w:szCs w:val="20"/>
        </w:rPr>
      </w:pPr>
      <w:r>
        <w:rPr>
          <w:rFonts w:asciiTheme="minorHAnsi" w:hAnsiTheme="minorHAnsi" w:cstheme="minorHAnsi"/>
          <w:sz w:val="20"/>
          <w:szCs w:val="20"/>
        </w:rPr>
        <w:t>Pour supprimer un fichier ou un dossier, il suffit d’aller cliquer sur la poubelle du dossier ou du fichier à supprimer dans la colonne « Actions » située à droite du dossier/fichier en question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76672" behindDoc="0" locked="0" layoutInCell="1" allowOverlap="1">
                <wp:simplePos x="0" y="0"/>
                <wp:positionH relativeFrom="column">
                  <wp:posOffset>3221990</wp:posOffset>
                </wp:positionH>
                <wp:positionV relativeFrom="paragraph">
                  <wp:posOffset>1644650</wp:posOffset>
                </wp:positionV>
                <wp:extent cx="520700" cy="450850"/>
                <wp:effectExtent l="16510" t="20320" r="15240" b="14605"/>
                <wp:wrapNone/>
                <wp:docPr id="65" name="Oval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700" cy="45085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5" o:spid="_x0000_s1026" style="position:absolute;margin-left:253.7pt;margin-top:129.5pt;width:41pt;height:3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mNCdQIAAO8EAAAOAAAAZHJzL2Uyb0RvYy54bWysVNuO2yAQfa/Uf0C8J7ZTOxdrndUqjqtK&#10;2+5K234AMThGxUCBxEmr/nsHnKRJ96Wq6gc8MHCYM3OGu/tDJ9CeGcuVLHAyjjFislaUy22Bv3yu&#10;RnOMrCOSEqEkK/CRWXy/fPvmrtc5m6hWCcoMAhBp814XuHVO51Fk65Z1xI6VZhKcjTIdcTA124ga&#10;0gN6J6JJHE+jXhmqjaqZtbBaDk68DPhNw2r31DSWOSQKDLG5MJowbvwYLe9IvjVEt7w+hUH+IYqO&#10;cAmXXqBK4gjaGf4KquO1UVY1blyrLlJNw2sWOACbJP6DzUtLNAtcIDlWX9Jk/x9s/Wn/bBCnBZ5m&#10;GEnSQY2e9kSgJM58cnptc9jzop+Np2f1o6q/WiTVqiVyyx6MUX3LCIWQEr8/ujngJxaOok3/UVGA&#10;JjunQp4Ojek8IGQAHUI5jpdysINDNSxmk3gWQ9FqcKVZPM9CuSKSnw9rY917pjrkjQIzIbi2PmEk&#10;J/tH63w8JD/v8stSVVyIUHQhUV/gyTybZeGEVYJT7w08zXazEgZBJgpcVTF8gR1k4HqbUTtJA5rP&#10;wfpkO8LFYMPtQno8oATxnKxBGD8W8WI9X8/TUTqZrkdpXJajh2qVjqZVMsvKd+VqVSY/fWhJmrec&#10;UiZ9dGeRJunfieDULoO8LjK9YWFvyVbwvSYb3YYRMguszv/ALhTf13vQzUbRI9TeqKHr4JUAo1Xm&#10;O0Y9dFyB7bcdMQwj8UGCfhZJmvoWDZM0m01gYq49m2sPkTVAFdhhNJgrN7T1Thu+beGmJJRVqgfQ&#10;XMODGLweh6hOSoWuCgxOL4Bv2+t52PX7nVr+AgAA//8DAFBLAwQUAAYACAAAACEApuNgOuEAAAAL&#10;AQAADwAAAGRycy9kb3ducmV2LnhtbEyPwU6DQBCG7ya+w2ZMvNldW1GKLA3R6MVEY9sYjwtMAWVn&#10;CbtQ9OkdT3qcmS//fH+6mW0nJhx860jD5UKBQCpd1VKtYb97uIhB+GCoMp0j1PCFHjbZ6Ulqksod&#10;6RWnbagFh5BPjIYmhD6R0pcNWuMXrkfi28EN1gQeh1pWgzlyuO3kUqlraU1L/KExPd41WH5uR6sh&#10;n74fzUv7VESji+f3g7zP354/tD4/m/NbEAHn8AfDrz6rQ8ZOhRup8qLTEKmbK0Y1LKM1l2Iiite8&#10;KTSsVkqBzFL5v0P2AwAA//8DAFBLAQItABQABgAIAAAAIQC2gziS/gAAAOEBAAATAAAAAAAAAAAA&#10;AAAAAAAAAABbQ29udGVudF9UeXBlc10ueG1sUEsBAi0AFAAGAAgAAAAhADj9If/WAAAAlAEAAAsA&#10;AAAAAAAAAAAAAAAALwEAAF9yZWxzLy5yZWxzUEsBAi0AFAAGAAgAAAAhAHPeY0J1AgAA7wQAAA4A&#10;AAAAAAAAAAAAAAAALgIAAGRycy9lMm9Eb2MueG1sUEsBAi0AFAAGAAgAAAAhAKbjYDrhAAAACwEA&#10;AA8AAAAAAAAAAAAAAAAAzwQAAGRycy9kb3ducmV2LnhtbFBLBQYAAAAABAAEAPMAAADdBQAAAAA=&#10;" filled="f" strokecolor="red" strokeweight="2.25pt"/>
            </w:pict>
          </mc:Fallback>
        </mc:AlternateContent>
      </w:r>
      <w:r>
        <w:rPr>
          <w:rFonts w:asciiTheme="minorHAnsi" w:hAnsiTheme="minorHAnsi" w:cstheme="minorHAnsi"/>
          <w:noProof/>
          <w:szCs w:val="20"/>
          <w:lang w:eastAsia="fr-BE"/>
        </w:rPr>
        <w:drawing>
          <wp:inline distT="0" distB="0" distL="0" distR="0">
            <wp:extent cx="1045210" cy="2101850"/>
            <wp:effectExtent l="19050" t="19050" r="21590" b="12700"/>
            <wp:docPr id="48" name="Image 48" descr="Zoom 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Zoom Actions"/>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45210" cy="2101850"/>
                    </a:xfrm>
                    <a:prstGeom prst="rect">
                      <a:avLst/>
                    </a:prstGeom>
                    <a:noFill/>
                    <a:ln w="6350" cmpd="sng">
                      <a:solidFill>
                        <a:srgbClr val="000000"/>
                      </a:solidFill>
                      <a:miter lim="800000"/>
                      <a:headEnd/>
                      <a:tailEnd/>
                    </a:ln>
                    <a:effectLst/>
                  </pic:spPr>
                </pic:pic>
              </a:graphicData>
            </a:graphic>
          </wp:inline>
        </w:drawing>
      </w:r>
      <w:r>
        <w:rPr>
          <w:rFonts w:asciiTheme="minorHAnsi" w:hAnsiTheme="minorHAnsi" w:cstheme="minorHAnsi"/>
          <w:szCs w:val="20"/>
        </w:rPr>
        <w:tab/>
      </w:r>
      <w:r>
        <w:rPr>
          <w:rFonts w:asciiTheme="minorHAnsi" w:hAnsiTheme="minorHAnsi" w:cstheme="minorHAnsi"/>
          <w:noProof/>
          <w:szCs w:val="20"/>
          <w:lang w:eastAsia="fr-BE"/>
        </w:rPr>
        <w:drawing>
          <wp:inline distT="0" distB="0" distL="0" distR="0">
            <wp:extent cx="1543685" cy="653415"/>
            <wp:effectExtent l="19050" t="19050" r="18415" b="13335"/>
            <wp:docPr id="49" name="Image 49" descr="menottes CI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enottes CIF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43685" cy="653415"/>
                    </a:xfrm>
                    <a:prstGeom prst="rect">
                      <a:avLst/>
                    </a:prstGeom>
                    <a:noFill/>
                    <a:ln w="6350" cmpd="sng">
                      <a:solidFill>
                        <a:srgbClr val="000000"/>
                      </a:solidFill>
                      <a:miter lim="800000"/>
                      <a:headEnd/>
                      <a:tailEnd/>
                    </a:ln>
                    <a:effectLst/>
                  </pic:spPr>
                </pic:pic>
              </a:graphicData>
            </a:graphic>
          </wp:inline>
        </w:drawing>
      </w:r>
    </w:p>
    <w:p>
      <w:pPr>
        <w:pStyle w:val="Paragraphedeliste"/>
        <w:spacing w:after="120" w:line="276" w:lineRule="auto"/>
        <w:ind w:left="0"/>
        <w:jc w:val="both"/>
        <w:rPr>
          <w:rFonts w:asciiTheme="minorHAnsi" w:hAnsiTheme="minorHAnsi" w:cstheme="minorHAnsi"/>
          <w:sz w:val="20"/>
          <w:szCs w:val="20"/>
        </w:rPr>
      </w:pPr>
      <w:r>
        <w:rPr>
          <w:rFonts w:asciiTheme="minorHAnsi" w:hAnsiTheme="minorHAnsi" w:cstheme="minorHAnsi"/>
          <w:sz w:val="20"/>
          <w:szCs w:val="20"/>
        </w:rPr>
        <w:t>Si vous gérez votre dossier personnel via le lien CIFS, il vous est bien sûr également possible de supprimer vos documents dans le navigateur Windows.</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Modifier des documents/dossiers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 partage n’est pas prévu pour la modification des documents mais uniquement pour le stockage. Il ne vous est donc pas possible de modifier les documents qui sont stockés dans votre dossier personnel. Il vous faudra placer votre document à modifier sur le disque dur de votre PC, effectuer les modifications souhaitées et le réenregistrer dans votre dossier personnel.</w:t>
      </w:r>
    </w:p>
    <w:p>
      <w:pPr>
        <w:pStyle w:val="Paragraphedeliste"/>
        <w:numPr>
          <w:ilvl w:val="1"/>
          <w:numId w:val="91"/>
        </w:numPr>
        <w:spacing w:after="240" w:line="276" w:lineRule="auto"/>
        <w:ind w:left="709"/>
        <w:jc w:val="both"/>
        <w:rPr>
          <w:rFonts w:asciiTheme="minorHAnsi" w:hAnsiTheme="minorHAnsi" w:cstheme="minorHAnsi"/>
          <w:b/>
          <w:szCs w:val="20"/>
        </w:rPr>
      </w:pPr>
      <w:r>
        <w:rPr>
          <w:rFonts w:asciiTheme="minorHAnsi" w:hAnsiTheme="minorHAnsi" w:cstheme="minorHAnsi"/>
          <w:b/>
          <w:szCs w:val="20"/>
        </w:rPr>
        <w:t>Changer le nom de votre dossier nominatif</w:t>
      </w:r>
    </w:p>
    <w:p>
      <w:pPr>
        <w:spacing w:after="120" w:line="276" w:lineRule="auto"/>
        <w:jc w:val="both"/>
        <w:rPr>
          <w:rFonts w:asciiTheme="minorHAnsi" w:hAnsiTheme="minorHAnsi" w:cstheme="minorHAnsi"/>
          <w:sz w:val="20"/>
          <w:szCs w:val="20"/>
        </w:rPr>
      </w:pPr>
      <w:r>
        <w:rPr>
          <w:rFonts w:asciiTheme="minorHAnsi" w:hAnsiTheme="minorHAnsi" w:cstheme="minorHAnsi"/>
          <w:noProof/>
          <w:sz w:val="20"/>
          <w:szCs w:val="20"/>
          <w:lang w:eastAsia="fr-BE"/>
        </w:rPr>
        <mc:AlternateContent>
          <mc:Choice Requires="wps">
            <w:drawing>
              <wp:anchor distT="0" distB="0" distL="114300" distR="114300" simplePos="0" relativeHeight="251678720" behindDoc="0" locked="0" layoutInCell="1" allowOverlap="1">
                <wp:simplePos x="0" y="0"/>
                <wp:positionH relativeFrom="column">
                  <wp:posOffset>3098047</wp:posOffset>
                </wp:positionH>
                <wp:positionV relativeFrom="paragraph">
                  <wp:posOffset>485170</wp:posOffset>
                </wp:positionV>
                <wp:extent cx="318977" cy="1254641"/>
                <wp:effectExtent l="19050" t="0" r="81280" b="60325"/>
                <wp:wrapNone/>
                <wp:docPr id="64" name="Line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8977" cy="1254641"/>
                        </a:xfrm>
                        <a:prstGeom prst="line">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95pt,38.2pt" to="269.0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wH+MwIAAFMEAAAOAAAAZHJzL2Uyb0RvYy54bWysVM2O0zAQviPxDpbvbZJu+hc1XaGk5bJA&#10;pV0ewLWdxsKxLdttWiHenbHTll24IEQOzjgz8803f1k9njuJTtw6oVWJs3GKEVdUM6EOJf76sh0t&#10;MHKeKEakVrzEF+7w4/r9u1VvCj7RrZaMWwQgyhW9KXHrvSmSxNGWd8SNteEKlI22HfFwtYeEWdID&#10;eieTSZrOkl5bZqym3Dn4Wg9KvI74TcOp/9I0jnskSwzcfDxtPPfhTNYrUhwsMa2gVxrkH1h0RCgI&#10;eoeqiSfoaMUfUJ2gVjvd+DHVXaKbRlAec4BssvS3bJ5bYnjMBYrjzL1M7v/B0s+nnUWClXiWY6RI&#10;Bz16EoqjLJ2H4vTGFWBTqZ0N6dGzejZPmn5zSOmqJerAI8mXiwHHLHgkb1zCxRkIse8/aQY25Oh1&#10;rNS5sV2AhBqgc2zI5d4QfvaIwseHbLGczzGioMom03yWDyFIcfM21vmPXHcoCCWWQD2ik9OT84EN&#10;KW4mIZjSWyFlbLpUqC/xdJ5N0+jhtBQsaIOds4d9JS06EZib7TaFJ+YGmtdmVh8Vi2gtJ2xzlT0R&#10;EmTkY1G8FVAmyXEI13GGkeSwKkEa+EkVIkLKwPgqDaPzfZkuN4vNIh/lk9lmlKd1PfqwrfLRbJvN&#10;p/VDXVV19iOQz/KiFYxxFfjfxjjL/25Mrgs1DOB9kO+VSt6ix5IC2ds7ko49D20eBmav2WVnQ3ah&#10;/TC50fi6ZWE1Xt+j1a9/wfonAAAA//8DAFBLAwQUAAYACAAAACEAmveBXOEAAAAKAQAADwAAAGRy&#10;cy9kb3ducmV2LnhtbEyPy07DMBBF90j8gzVI7KjdkjRpyKSqeEioogtCP8CNp3HU2I5itw1/j1nB&#10;cnSP7j1TrifTswuNvnMWYT4TwMg2TnW2Rdh/vT3kwHyQVsneWUL4Jg/r6vamlIVyV/tJlzq0LJZY&#10;X0gEHcJQcO4bTUb6mRvIxuzoRiNDPMeWq1FeY7np+UKIJTeys3FBy4GeNTWn+mwQdub4IU6vL2LX&#10;6c1A9Tat2/cU8f5u2jwBCzSFPxh+9aM6VNHp4M5WedYjJHm2iihCtkyARSB9zOfADgiLLBHAq5L/&#10;f6H6AQAA//8DAFBLAQItABQABgAIAAAAIQC2gziS/gAAAOEBAAATAAAAAAAAAAAAAAAAAAAAAABb&#10;Q29udGVudF9UeXBlc10ueG1sUEsBAi0AFAAGAAgAAAAhADj9If/WAAAAlAEAAAsAAAAAAAAAAAAA&#10;AAAALwEAAF9yZWxzLy5yZWxzUEsBAi0AFAAGAAgAAAAhAHwHAf4zAgAAUwQAAA4AAAAAAAAAAAAA&#10;AAAALgIAAGRycy9lMm9Eb2MueG1sUEsBAi0AFAAGAAgAAAAhAJr3gVzhAAAACgEAAA8AAAAAAAAA&#10;AAAAAAAAjQQAAGRycy9kb3ducmV2LnhtbFBLBQYAAAAABAAEAPMAAACbBQAAAAA=&#10;" strokecolor="red" strokeweight="4.5pt">
                <v:stroke endarrow="block"/>
              </v:line>
            </w:pict>
          </mc:Fallback>
        </mc:AlternateContent>
      </w:r>
      <w:r>
        <w:rPr>
          <w:rFonts w:asciiTheme="minorHAnsi" w:hAnsiTheme="minorHAnsi" w:cstheme="minorHAnsi"/>
          <w:sz w:val="20"/>
          <w:szCs w:val="20"/>
        </w:rPr>
        <w:t>Pour modifier le nom d’un dossier dans le partage, il convient d’utiliser la fonction « Modifier les propriétés de l’espace » représentée par une feuille avec un petit crayon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77696" behindDoc="0" locked="0" layoutInCell="1" allowOverlap="1">
                <wp:simplePos x="0" y="0"/>
                <wp:positionH relativeFrom="column">
                  <wp:posOffset>3245411</wp:posOffset>
                </wp:positionH>
                <wp:positionV relativeFrom="paragraph">
                  <wp:posOffset>1222405</wp:posOffset>
                </wp:positionV>
                <wp:extent cx="393700" cy="325120"/>
                <wp:effectExtent l="17145" t="15240" r="17780" b="21590"/>
                <wp:wrapNone/>
                <wp:docPr id="63" name="Oval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700" cy="32512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6" o:spid="_x0000_s1026" style="position:absolute;margin-left:255.55pt;margin-top:96.25pt;width:31pt;height:25.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nmGdgIAAO8EAAAOAAAAZHJzL2Uyb0RvYy54bWysVNuO2yAQfa/Uf0C8J7YT52ats1rFcVVp&#10;211p2w8gBseoGCiQOGm1/94BJ2nSfamq+gEPDAxz5pzh7v7QCrRnxnIlc5wMY4yYrBTlcpvjr1/K&#10;wRwj64ikRCjJcnxkFt8v37+763TGRqpRgjKDIIi0Wadz3DinsyiyVcNaYodKMwnOWpmWOJiabUQN&#10;6SB6K6JRHE+jThmqjaqYtbBa9E68DPHrmlXuqa4tc0jkGHJzYTRh3PgxWt6RbGuIbnh1SoP8QxYt&#10;4RIuvYQqiCNoZ/ibUC2vjLKqdsNKtZGqa16xgAHQJPEfaF4aolnAAsWx+lIm+//CVp/3zwZxmuPp&#10;GCNJWuDoaU8ESuKpL06nbQZ7XvSz8fCsflTVN4ukWjVEbtmDMaprGKGQUuL3RzcH/MTCUbTpPikK&#10;ocnOqVCnQ21aHxAqgA6BjuOFDnZwqILF8WI8i4G0Clzj0SQZBboikp0Pa2PdB6Za5I0cMyG4tr5g&#10;JCP7R+t8PiQ77/LLUpVciEC6kKjL8Wg+mU3CCasEp94bcJrtZiUMgkrkuCxj+AI6qMD1NqN2koZo&#10;vgbrk+0IF70Ntwvp4wEkyOdk9cL4uYgX6/l6ng7S0XQ9SOOiGDyUq3QwLZPZpBgXq1WRvPrUkjRr&#10;OKVM+uzOIk3SvxPBqV16eV1keoPC3oIt4XsLNrpNI1QWUJ3/AV0g3/Pd62aj6BG4N6rvOnglwGiU&#10;+YFRBx2XY/t9RwzDSHyUoJ9Fkqa+RcMkncyAbmSuPZtrD5EVhMqxw6g3V65v6502fNvATUmgVaoH&#10;0FzNgxi8HvusTkqFrgoITi+Ab9vredj1+51a/gIAAP//AwBQSwMEFAAGAAgAAAAhAO9YjU/hAAAA&#10;CwEAAA8AAABkcnMvZG93bnJldi54bWxMj8FOg0AQhu8mvsNmTLzZBSq2IktDNHoxqWlrjMcFpoCy&#10;s4RdKPr0jic9zvxf/vkm3cymExMOrrWkIFwEIJBKW7VUK3g9PF6tQTivqdKdJVTwhQ422flZqpPK&#10;nmiH097XgkvIJVpB432fSOnKBo12C9sjcXa0g9Gex6GW1aBPXG46GQXBjTS6Jb7Q6B7vGyw/96NR&#10;kE/fT/qlfS7i0a7n96N8yN+2H0pdXsz5HQiPs/+D4Vef1SFjp8KOVDnRKYjDMGSUg9soBsFEvFry&#10;plAQXS9XILNU/v8h+wEAAP//AwBQSwECLQAUAAYACAAAACEAtoM4kv4AAADhAQAAEwAAAAAAAAAA&#10;AAAAAAAAAAAAW0NvbnRlbnRfVHlwZXNdLnhtbFBLAQItABQABgAIAAAAIQA4/SH/1gAAAJQBAAAL&#10;AAAAAAAAAAAAAAAAAC8BAABfcmVscy8ucmVsc1BLAQItABQABgAIAAAAIQCEVnmGdgIAAO8EAAAO&#10;AAAAAAAAAAAAAAAAAC4CAABkcnMvZTJvRG9jLnhtbFBLAQItABQABgAIAAAAIQDvWI1P4QAAAAsB&#10;AAAPAAAAAAAAAAAAAAAAANAEAABkcnMvZG93bnJldi54bWxQSwUGAAAAAAQABADzAAAA3gUAAAAA&#10;" filled="f" strokecolor="red" strokeweight="2.25pt"/>
            </w:pict>
          </mc:Fallback>
        </mc:AlternateContent>
      </w:r>
      <w:r>
        <w:rPr>
          <w:rFonts w:asciiTheme="minorHAnsi" w:hAnsiTheme="minorHAnsi" w:cstheme="minorHAnsi"/>
          <w:noProof/>
          <w:szCs w:val="20"/>
          <w:lang w:eastAsia="fr-BE"/>
        </w:rPr>
        <w:drawing>
          <wp:inline distT="0" distB="0" distL="0" distR="0">
            <wp:extent cx="808074" cy="1624985"/>
            <wp:effectExtent l="19050" t="19050" r="11430" b="13335"/>
            <wp:docPr id="50" name="Image 50" descr="Zoom 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Zoom Actions"/>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14175" cy="1637253"/>
                    </a:xfrm>
                    <a:prstGeom prst="rect">
                      <a:avLst/>
                    </a:prstGeom>
                    <a:noFill/>
                    <a:ln w="6350" cmpd="sng">
                      <a:solidFill>
                        <a:srgbClr val="000000"/>
                      </a:solidFill>
                      <a:miter lim="800000"/>
                      <a:headEnd/>
                      <a:tailEnd/>
                    </a:ln>
                    <a:effectLst/>
                  </pic:spPr>
                </pic:pic>
              </a:graphicData>
            </a:graphic>
          </wp:inline>
        </w:drawing>
      </w:r>
      <w:r>
        <w:rPr>
          <w:rFonts w:asciiTheme="minorHAnsi" w:hAnsiTheme="minorHAnsi" w:cstheme="minorHAnsi"/>
          <w:szCs w:val="20"/>
        </w:rPr>
        <w:tab/>
      </w:r>
      <w:r>
        <w:rPr>
          <w:rFonts w:asciiTheme="minorHAnsi" w:hAnsiTheme="minorHAnsi" w:cstheme="minorHAnsi"/>
          <w:noProof/>
          <w:szCs w:val="20"/>
          <w:lang w:eastAsia="fr-BE"/>
        </w:rPr>
        <w:drawing>
          <wp:inline distT="0" distB="0" distL="0" distR="0">
            <wp:extent cx="1403498" cy="594076"/>
            <wp:effectExtent l="19050" t="19050" r="25400" b="15875"/>
            <wp:docPr id="51" name="Image 51" descr="menottes CI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enottes CIF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20965" cy="601469"/>
                    </a:xfrm>
                    <a:prstGeom prst="rect">
                      <a:avLst/>
                    </a:prstGeom>
                    <a:noFill/>
                    <a:ln w="6350" cmpd="sng">
                      <a:solidFill>
                        <a:srgbClr val="000000"/>
                      </a:solidFill>
                      <a:miter lim="800000"/>
                      <a:headEnd/>
                      <a:tailEnd/>
                    </a:ln>
                    <a:effectLst/>
                  </pic:spPr>
                </pic:pic>
              </a:graphicData>
            </a:graphic>
          </wp:inline>
        </w:drawing>
      </w:r>
    </w:p>
    <w:p>
      <w:pPr>
        <w:spacing w:line="276" w:lineRule="auto"/>
        <w:rPr>
          <w:rFonts w:asciiTheme="minorHAnsi" w:hAnsiTheme="minorHAnsi" w:cstheme="minorHAnsi"/>
          <w:sz w:val="20"/>
          <w:szCs w:val="20"/>
        </w:rPr>
      </w:pPr>
      <w:r>
        <w:rPr>
          <w:rFonts w:asciiTheme="minorHAnsi" w:hAnsiTheme="minorHAnsi" w:cstheme="minorHAnsi"/>
          <w:sz w:val="20"/>
          <w:szCs w:val="20"/>
        </w:rPr>
        <w:br w:type="page"/>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Vous êtes alors dirigé vers l’écran suivant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80768" behindDoc="0" locked="0" layoutInCell="1" allowOverlap="1">
                <wp:simplePos x="0" y="0"/>
                <wp:positionH relativeFrom="column">
                  <wp:posOffset>1684629</wp:posOffset>
                </wp:positionH>
                <wp:positionV relativeFrom="paragraph">
                  <wp:posOffset>804672</wp:posOffset>
                </wp:positionV>
                <wp:extent cx="342900" cy="342900"/>
                <wp:effectExtent l="17780" t="16510" r="20320" b="21590"/>
                <wp:wrapNone/>
                <wp:docPr id="57" name="Oval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pPr>
                              <w:jc w:val="center"/>
                              <w:rPr>
                                <w:b/>
                                <w:color w:val="FF0000"/>
                              </w:rPr>
                            </w:pPr>
                            <w:r>
                              <w:rPr>
                                <w:b/>
                                <w:color w:val="FF00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9" o:spid="_x0000_s1032" style="position:absolute;left:0;text-align:left;margin-left:132.65pt;margin-top:63.35pt;width:27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nkregIAAAEFAAAOAAAAZHJzL2Uyb0RvYy54bWysVM1u2zAMvg/YOwi6p7ZT58+IUxRxPAzo&#10;1gLdHkCx5FiYLGmSEqcb9u6jZCdL2sswzAeZFCmKH/lRy7tjK9CBGcuVzHFyE2PEZKUol7scf/1S&#10;juYYWUckJUJJluMXZvHd6v27ZaczNlaNEpQZBEGkzTqd48Y5nUWRrRrWEnujNJNgrJVpiQPV7CJq&#10;SAfRWxGN43gadcpQbVTFrIXdojfiVYhf16xyj3VtmUMix5CbC6sJ69av0WpJsp0huuHVkAb5hyxa&#10;wiVceg5VEEfQ3vA3oVpeGWVV7W4q1UaqrnnFAgZAk8Sv0Dw3RLOABYpj9blM9v+FrT4fngziNMeT&#10;GUaStNCjxwMRKIkXvjidthn4POsn4+FZ/aCqbxZJtW6I3LF7Y1TXMEIhpcT7R1cHvGLhKNp2nxSF&#10;0GTvVKjTsTatDwgVQMfQjpdzO9jRoQo2b9PxIoamVWAaZH8DyU6HtbHuA1Mt8kKOmRBcW18wkpHD&#10;g3W998nLb0tVciFgn2RCoi7H4/lkNgknrBKceqs3WrPbroVBUIkcl2UMX0AHlks3o/aShmi+BptB&#10;doSLXoZchfTxABLkM0g9MX4u4sVmvpmno3Q83YzSuChG9+U6HU3LZDYpbov1ukh++dSSNGs4pUz6&#10;7E4kTdK/I8EwLj29zjS9QvEKbAnfW7DRdRqhD4Dq9A/oQvN9v3veuOP2GKg1PTFpq+gLsMGofg7h&#10;3QChUeYHRh3MYI7t9z0xDCPxUQKjFkma+qENSjqZjUExl5btpYXICkLl2GHUi2vXD/peG75r4KYk&#10;NFqqe2BhzQM9PEP7rAbuwpwFTMOb4Af5Ug9ef16u1W8AAAD//wMAUEsDBBQABgAIAAAAIQD2xeVK&#10;4QAAAAsBAAAPAAAAZHJzL2Rvd25yZXYueG1sTI9BT4NAEIXvJv6HzZh4s0tpShFZGqLRi4mNtWk8&#10;DrAFlJ0l7ELRX+940uO89+XNe+l2Np2Y9OBaSwqWiwCEptJWLdUKDm+PNzEI55Eq7CxpBV/awTa7&#10;vEgxqeyZXvW097XgEHIJKmi87xMpXdlog25he03snexg0PM51LIa8MzhppNhEETSYEv8ocFe3ze6&#10;/NyPRkE+fT/hrn0u1qON5/eTfMiPLx9KXV/N+R0Ir2f/B8Nvfa4OGXcq7EiVE52CMFqvGGUjjDYg&#10;mFgtb1kpWImDDcgslf83ZD8AAAD//wMAUEsBAi0AFAAGAAgAAAAhALaDOJL+AAAA4QEAABMAAAAA&#10;AAAAAAAAAAAAAAAAAFtDb250ZW50X1R5cGVzXS54bWxQSwECLQAUAAYACAAAACEAOP0h/9YAAACU&#10;AQAACwAAAAAAAAAAAAAAAAAvAQAAX3JlbHMvLnJlbHNQSwECLQAUAAYACAAAACEAXxp5K3oCAAAB&#10;BQAADgAAAAAAAAAAAAAAAAAuAgAAZHJzL2Uyb0RvYy54bWxQSwECLQAUAAYACAAAACEA9sXlSuEA&#10;AAALAQAADwAAAAAAAAAAAAAAAADUBAAAZHJzL2Rvd25yZXYueG1sUEsFBgAAAAAEAAQA8wAAAOIF&#10;AAAAAA==&#10;" filled="f" strokecolor="red" strokeweight="2.25pt">
                <v:textbox>
                  <w:txbxContent>
                    <w:p>
                      <w:pPr>
                        <w:jc w:val="center"/>
                        <w:rPr>
                          <w:b/>
                          <w:color w:val="FF0000"/>
                        </w:rPr>
                      </w:pPr>
                      <w:r>
                        <w:rPr>
                          <w:b/>
                          <w:color w:val="FF0000"/>
                        </w:rPr>
                        <w:t>1</w:t>
                      </w:r>
                    </w:p>
                  </w:txbxContent>
                </v:textbox>
              </v:oval>
            </w:pict>
          </mc:Fallback>
        </mc:AlternateContent>
      </w:r>
      <w:r>
        <w:rPr>
          <w:rFonts w:asciiTheme="minorHAnsi" w:hAnsiTheme="minorHAnsi" w:cstheme="minorHAnsi"/>
          <w:noProof/>
          <w:szCs w:val="20"/>
          <w:lang w:eastAsia="fr-BE"/>
        </w:rPr>
        <mc:AlternateContent>
          <mc:Choice Requires="wps">
            <w:drawing>
              <wp:anchor distT="0" distB="0" distL="114300" distR="114300" simplePos="0" relativeHeight="251683840" behindDoc="0" locked="0" layoutInCell="1" allowOverlap="1">
                <wp:simplePos x="0" y="0"/>
                <wp:positionH relativeFrom="column">
                  <wp:posOffset>1206982</wp:posOffset>
                </wp:positionH>
                <wp:positionV relativeFrom="paragraph">
                  <wp:posOffset>702106</wp:posOffset>
                </wp:positionV>
                <wp:extent cx="457885" cy="180467"/>
                <wp:effectExtent l="0" t="57150" r="37465" b="48260"/>
                <wp:wrapNone/>
                <wp:docPr id="62" name="Lin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885" cy="180467"/>
                        </a:xfrm>
                        <a:prstGeom prst="line">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2" o:spid="_x0000_s1026" style="position:absolute;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05pt,55.3pt" to="131.1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7f6PAIAAGYEAAAOAAAAZHJzL2Uyb0RvYy54bWysVMGO2jAQvVfqP1i+QxIaIBsRVhWB9rBt&#10;kXbbu7EdYtWxLdsQUNV/37HJsqW9VFVzcMbxzJs34zdZ3J86iY7cOqFVhbNxihFXVDOh9hX++rQZ&#10;FRg5TxQjUite4TN3+H759s2iNyWf6FZLxi0CEOXK3lS49d6USeJoyzvixtpwBYeNth3xsLX7hFnS&#10;A3onk0mazpJeW2asptw5+FpfDvEy4jcNp/5L0zjukawwcPNxtXHdhTVZLki5t8S0gg40yD+w6IhQ&#10;kPQKVRNP0MGKP6A6Qa12uvFjqrtEN42gPNYA1WTpb9U8tsTwWAs0x5lrm9z/g6Wfj1uLBKvwbIKR&#10;Ih3c0YNQHGXZJDSnN64En5Xa2lAePalH86Dpd4eUXrVE7Xkk+XQ2EJiFiOQmJGycgRS7/pNm4EMO&#10;XsdOnRrboUYK8zEERutbsEIa6As6xUs6Xy+Jnzyi8DGfzotiihGFo6xI89k8ZiVlAAzBxjr/gesO&#10;BaPCEqqJoOT44Hwg+OoS3JXeCCmjDqRCfYWn82yaxginpWDhNPg5u9+tpEVHAlLabFJ4hsQ3blYf&#10;FItoLSdsPdieCAk28rFP3gronOQ4pOs4w0hymJ5gXfhJFTJCxcB4sC5q+nGX3q2LdZGP8slsPcrT&#10;uh6936zy0WyTzaf1u3q1qrOfgXyWl61gjKvA/0XZWf53yhlm7KLJq7avnUpu0WNLgezLO5KOMgg3&#10;f9HQTrPz1obqgiJAzNF5GLwwLb/uo9fr72H5DAAA//8DAFBLAwQUAAYACAAAACEAargA8d4AAAAL&#10;AQAADwAAAGRycy9kb3ducmV2LnhtbEyPQU+EMBCF7yb+h2ZMvLktrBIWKRtj4tFNdjXZ60ArEOmU&#10;0MKiv97xpLd5My9vvlfuVzeIxU6h96Qh2SgQlhpvemo1vL+93OUgQkQyOHiyGr5sgH11fVViYfyF&#10;jnY5xVZwCIUCNXQxjoWUoemsw7DxoyW+ffjJYWQ5tdJMeOFwN8hUqUw67Ik/dDja5842n6fZafi+&#10;780runU707k+HM8P+XJIc61vb9anRxDRrvHPDL/4jA4VM9V+JhPEwHqnErbykKgMBDvSLE1B1LzZ&#10;7hTIqpT/O1Q/AAAA//8DAFBLAQItABQABgAIAAAAIQC2gziS/gAAAOEBAAATAAAAAAAAAAAAAAAA&#10;AAAAAABbQ29udGVudF9UeXBlc10ueG1sUEsBAi0AFAAGAAgAAAAhADj9If/WAAAAlAEAAAsAAAAA&#10;AAAAAAAAAAAALwEAAF9yZWxzLy5yZWxzUEsBAi0AFAAGAAgAAAAhAIbnt/o8AgAAZgQAAA4AAAAA&#10;AAAAAAAAAAAALgIAAGRycy9lMm9Eb2MueG1sUEsBAi0AFAAGAAgAAAAhAGq4APHeAAAACwEAAA8A&#10;AAAAAAAAAAAAAAAAlgQAAGRycy9kb3ducmV2LnhtbFBLBQYAAAAABAAEAPMAAAChBQAAAAA=&#10;" strokecolor="red" strokeweight="4.5pt">
                <v:stroke endarrow="block"/>
              </v:line>
            </w:pict>
          </mc:Fallback>
        </mc:AlternateContent>
      </w:r>
      <w:r>
        <w:rPr>
          <w:rFonts w:asciiTheme="minorHAnsi" w:hAnsiTheme="minorHAnsi" w:cstheme="minorHAnsi"/>
          <w:noProof/>
          <w:szCs w:val="20"/>
          <w:lang w:eastAsia="fr-BE"/>
        </w:rPr>
        <mc:AlternateContent>
          <mc:Choice Requires="wps">
            <w:drawing>
              <wp:anchor distT="0" distB="0" distL="114300" distR="114300" simplePos="0" relativeHeight="251679744" behindDoc="0" locked="0" layoutInCell="1" allowOverlap="1">
                <wp:simplePos x="0" y="0"/>
                <wp:positionH relativeFrom="column">
                  <wp:posOffset>599846</wp:posOffset>
                </wp:positionH>
                <wp:positionV relativeFrom="paragraph">
                  <wp:posOffset>556057</wp:posOffset>
                </wp:positionV>
                <wp:extent cx="571500" cy="228600"/>
                <wp:effectExtent l="19685" t="19050" r="18415" b="19050"/>
                <wp:wrapNone/>
                <wp:docPr id="61" name="Oval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286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8" o:spid="_x0000_s1026" style="position:absolute;margin-left:47.25pt;margin-top:43.8pt;width:45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t1rcgIAAO8EAAAOAAAAZHJzL2Uyb0RvYy54bWysVN1u2yAUvp+0d0Dcp7Yz56dWnaqK42nS&#10;tlbq9gAEcIyGgQGJ00179x2wkzXtzTTNF/gczuHjfOeHm9tjJ9GBWye0KnF2lWLEFdVMqF2Jv36p&#10;J0uMnCeKEakVL/ETd/h29fbNTW8KPtWtloxbBCDKFb0pceu9KZLE0ZZ3xF1pwxUYG2074kG1u4RZ&#10;0gN6J5Npms6TXltmrKbcOditBiNeRfym4dTfN43jHskSQ2w+rjau27AmqxtS7CwxraBjGOQfouiI&#10;UHDpGaoinqC9Fa+gOkGtdrrxV1R3iW4aQXnkAGyy9AWbx5YYHrlAcpw5p8n9P1j6+fBgkWAlnmcY&#10;KdJBje4PRKIsXYbk9MYV4PNoHmyg58xHTb85pPS6JWrH76zVfcsJg5Cy4J9cHAiKg6No23/SDKDJ&#10;3uuYp2NjuwAIGUDHWI6nczn40SMKm7NFNkuhaBRM0+lyDnK4gRSnw8Y6/57rDgWhxFxKYVxIGCnI&#10;4aPzg/fJK2wrXQspYZ8UUqEecJezxSyecFoKFqzB6Oxuu5YWQSZKXNcpfOPdF25W7xWLaCEHm1H2&#10;RMhBhlilCnhACeIZpaExfl6n15vlZplP8ul8M8nTqprc1et8Mq+zxax6V63XVfYrhJblRSsY4ypE&#10;d2rSLP+7JhjHZWivc5tesHhBtobvNdnkMoxYB2B1+kd2sfih3kPfbDV7gtpbPUwdvBIgtNr+wKiH&#10;iSux+74nlmMkPyjon+ssz8OIRiWfLaag2OeW7XMLURSgSuwxGsS1H8Z6b6zYtXBTFsuq9B30XCNi&#10;M4R+HKIaOxWmKjIYX4Awts/16PXnnVr9BgAA//8DAFBLAwQUAAYACAAAACEAZBsE1d4AAAAJAQAA&#10;DwAAAGRycy9kb3ducmV2LnhtbEyPQU+EMBCF7yb+h2ZMvLnF1UVEyoZo9GKicTXG40BnAaVTQguL&#10;/nrLSW8z817efC/bzqYTEw2utazgfBWBIK6sbrlW8PZ6f5aAcB5ZY2eZFHyTg21+fJRhqu2BX2ja&#10;+VqEEHYpKmi871MpXdWQQbeyPXHQ9nYw6MM61FIPeAjhppPrKIqlwZbDhwZ7um2o+tqNRkEx/Tzg&#10;c/tYbkabzB97eVe8P30qdXoyFzcgPM3+zwwLfkCHPDCVdmTtRKfg+nITnAqSqxjEoifLoQzD+iIG&#10;mWfyf4P8FwAA//8DAFBLAQItABQABgAIAAAAIQC2gziS/gAAAOEBAAATAAAAAAAAAAAAAAAAAAAA&#10;AABbQ29udGVudF9UeXBlc10ueG1sUEsBAi0AFAAGAAgAAAAhADj9If/WAAAAlAEAAAsAAAAAAAAA&#10;AAAAAAAALwEAAF9yZWxzLy5yZWxzUEsBAi0AFAAGAAgAAAAhANfq3WtyAgAA7wQAAA4AAAAAAAAA&#10;AAAAAAAALgIAAGRycy9lMm9Eb2MueG1sUEsBAi0AFAAGAAgAAAAhAGQbBNXeAAAACQEAAA8AAAAA&#10;AAAAAAAAAAAAzAQAAGRycy9kb3ducmV2LnhtbFBLBQYAAAAABAAEAPMAAADXBQAAAAA=&#10;" filled="f" strokecolor="red" strokeweight="2.25pt"/>
            </w:pict>
          </mc:Fallback>
        </mc:AlternateContent>
      </w:r>
      <w:r>
        <w:rPr>
          <w:rFonts w:asciiTheme="minorHAnsi" w:hAnsiTheme="minorHAnsi" w:cstheme="minorHAnsi"/>
          <w:noProof/>
          <w:szCs w:val="20"/>
          <w:lang w:eastAsia="fr-BE"/>
        </w:rPr>
        <mc:AlternateContent>
          <mc:Choice Requires="wps">
            <w:drawing>
              <wp:anchor distT="0" distB="0" distL="114300" distR="114300" simplePos="0" relativeHeight="251681792" behindDoc="0" locked="0" layoutInCell="1" allowOverlap="1">
                <wp:simplePos x="0" y="0"/>
                <wp:positionH relativeFrom="column">
                  <wp:posOffset>4388815</wp:posOffset>
                </wp:positionH>
                <wp:positionV relativeFrom="paragraph">
                  <wp:posOffset>462686</wp:posOffset>
                </wp:positionV>
                <wp:extent cx="342900" cy="342900"/>
                <wp:effectExtent l="23495" t="16510" r="14605" b="21590"/>
                <wp:wrapNone/>
                <wp:docPr id="59" name="Oval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txbx>
                        <w:txbxContent>
                          <w:p>
                            <w:pPr>
                              <w:jc w:val="center"/>
                              <w:rPr>
                                <w:b/>
                                <w:color w:val="FF0000"/>
                              </w:rPr>
                            </w:pPr>
                            <w:r>
                              <w:rPr>
                                <w:b/>
                                <w:color w:val="FF00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0" o:spid="_x0000_s1033" style="position:absolute;left:0;text-align:left;margin-left:345.6pt;margin-top:36.45pt;width:27pt;height:2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mAXeQIAAAEFAAAOAAAAZHJzL2Uyb0RvYy54bWysVNuO2yAQfa/Uf0C8J7azzs1aZ7WK46rS&#10;trvSth9AMI5RMVAgcbZV/70DdrJJ96Wq6gc8MHCYM3OG27tjK9CBGcuVzHEyjjFikqqKy12Ov34p&#10;RwuMrCOyIkJJluMXZvHd6v27205nbKIaJSpmEIBIm3U6x41zOosiSxvWEjtWmklw1sq0xMHU7KLK&#10;kA7QWxFN4ngWdcpU2ijKrIXVonfiVcCva0bdY11b5pDIMcTmwmjCuPVjtLol2c4Q3XA6hEH+IYqW&#10;cAmXnqEK4gjaG/4GquXUKKtqN6aqjVRdc8oCB2CTxH+weW6IZoELJMfqc5rs/4Olnw9PBvEqx9Ml&#10;RpK0UKPHAxEoSUJyOm0z2POsn4ynZ/WDot8skmrdELlj98aormGkgpASn8zo6oCfWDiKtt0nVQE0&#10;2TsV8nSsTesBIQPoGMrxci4HOzpEYfEmnSxjKBoF12D7G0h2OqyNdR+YapE3csyE4Nr6hJGMHB6s&#10;63efdvllqUouRCi6kKjL8WQxnU/DCasEr7w38DS77VoYBJnIcVnG8AV2kIHLbUbtZRXQfA42g+0I&#10;F70NsQrp8YASxDNYvTB+LuPlZrFZpKN0MtuM0rgoRvflOh3NymQ+LW6K9bpIfvnQkjRreFUx6aM7&#10;iTRJ/04EQ7v08jrL9IqFvSZbwveWbHQdRqgDsDr9A7tQfF9v3342c8ftMUhr7uH8ylZVL6AGo/o+&#10;hHcDjEaZHxh10IM5tt/3xDCMxEcJilomaeqbNkzS6XwCE3Pp2V56iKQAlWOHUW+uXd/oe234roGb&#10;klBoqe5BhTUP8niNatAu9FngNLwJvpEv52HX68u1+g0AAP//AwBQSwMEFAAGAAgAAAAhAC/GSr7g&#10;AAAACgEAAA8AAABkcnMvZG93bnJldi54bWxMj8FOg0AQhu8mvsNmTLzZpcTSgiwN0ejFxMbaNB4H&#10;mALK7hJ2oejTO570ODNf/vn+dDvrTkw0uNYaBctFAIJMaavW1AoOb483GxDOo6mws4YUfJGDbXZ5&#10;kWJS2bN5pWnva8EhxiWooPG+T6R0ZUMa3cL2ZPh2soNGz+NQy2rAM4frToZBEEmNreEPDfZ031D5&#10;uR+1gnz6fsJd+1ysRruZ30/yIT++fCh1fTXndyA8zf4Phl99VoeMnQo7msqJTkEUL0NGFazDGAQD&#10;69sVLwomwygGmaXyf4XsBwAA//8DAFBLAQItABQABgAIAAAAIQC2gziS/gAAAOEBAAATAAAAAAAA&#10;AAAAAAAAAAAAAABbQ29udGVudF9UeXBlc10ueG1sUEsBAi0AFAAGAAgAAAAhADj9If/WAAAAlAEA&#10;AAsAAAAAAAAAAAAAAAAALwEAAF9yZWxzLy5yZWxzUEsBAi0AFAAGAAgAAAAhAOiyYBd5AgAAAQUA&#10;AA4AAAAAAAAAAAAAAAAALgIAAGRycy9lMm9Eb2MueG1sUEsBAi0AFAAGAAgAAAAhAC/GSr7gAAAA&#10;CgEAAA8AAAAAAAAAAAAAAAAA0wQAAGRycy9kb3ducmV2LnhtbFBLBQYAAAAABAAEAPMAAADgBQAA&#10;AAA=&#10;" filled="f" strokecolor="red" strokeweight="2.25pt">
                <v:textbox>
                  <w:txbxContent>
                    <w:p>
                      <w:pPr>
                        <w:jc w:val="center"/>
                        <w:rPr>
                          <w:b/>
                          <w:color w:val="FF0000"/>
                        </w:rPr>
                      </w:pPr>
                      <w:r>
                        <w:rPr>
                          <w:b/>
                          <w:color w:val="FF0000"/>
                        </w:rPr>
                        <w:t>2</w:t>
                      </w:r>
                    </w:p>
                  </w:txbxContent>
                </v:textbox>
              </v:oval>
            </w:pict>
          </mc:Fallback>
        </mc:AlternateContent>
      </w:r>
      <w:r>
        <w:rPr>
          <w:rFonts w:asciiTheme="minorHAnsi" w:hAnsiTheme="minorHAnsi" w:cstheme="minorHAnsi"/>
          <w:noProof/>
          <w:szCs w:val="20"/>
          <w:lang w:eastAsia="fr-BE"/>
        </w:rPr>
        <mc:AlternateContent>
          <mc:Choice Requires="wps">
            <w:drawing>
              <wp:anchor distT="0" distB="0" distL="114300" distR="114300" simplePos="0" relativeHeight="251682816" behindDoc="0" locked="0" layoutInCell="1" allowOverlap="1">
                <wp:simplePos x="0" y="0"/>
                <wp:positionH relativeFrom="column">
                  <wp:posOffset>5341925</wp:posOffset>
                </wp:positionH>
                <wp:positionV relativeFrom="paragraph">
                  <wp:posOffset>340564</wp:posOffset>
                </wp:positionV>
                <wp:extent cx="457200" cy="457200"/>
                <wp:effectExtent l="19685" t="19050" r="18415" b="19050"/>
                <wp:wrapNone/>
                <wp:docPr id="58" name="Oval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1" o:spid="_x0000_s1026" style="position:absolute;margin-left:420.6pt;margin-top:26.8pt;width:36pt;height:3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RpWbwIAAO8EAAAOAAAAZHJzL2Uyb0RvYy54bWysVMFu2zAMvQ/YPwi6p7Yzp02NOkURx8OA&#10;bi3Q7QMUS46FyaImKXG6Yf8+Sk6yZr0Mw3yQSZGi+PhI3dzue0V2wjoJuqTZRUqJ0A1wqTcl/fK5&#10;nswpcZ5pzhRoUdJn4ejt4u2bm8EUYgodKC4swSDaFYMpaee9KZLENZ3ombsAIzQaW7A986jaTcIt&#10;GzB6r5Jpml4mA1huLDTCOdytRiNdxPhtKxr/0LZOeKJKirn5uNq4rsOaLG5YsbHMdLI5pMH+IYue&#10;SY2XnkJVzDOytfJVqF42Fhy0/qKBPoG2lY2IGBBNlv6B5qljRkQsWBxnTmVy/y9s82n3aInkJZ0h&#10;U5r1yNHDjimSZVkozmBcgT5P5tEGeM7cQ/PVEQ3LjumNuLMWhk4wjilF/+TsQFAcHiXr4SNwDM22&#10;HmKd9q3tQ0CsANlHOp5PdIi9Jw1u5rMrpJiSBk0HGTNKWHE8bKzz7wX0JAglFUpJ40LBWMF2986P&#10;3kevsK2hlkpF0pUmQ0mn89nVLJ5woCQP1ojTbtZLZQlWoqR1neIXqoF3n7lZ2Goeo4UarA6yZ1KN&#10;MvorHeIhJMznII2N8eM6vV7NV/N8kk8vV5M8rarJXb3MJ5d1djWr3lXLZZX9DKlledFJzoUO2R2b&#10;NMv/rgkO4zK216lNz1C4c7A1fq/BJudpxFogquM/oovkB77HvlkDf0buLYxTh68ECh3Y75QMOHEl&#10;dd+2zApK1AeN/XOd5XkY0ahEvimxLy3rlxamGwxVUk/JKC79ONZbY+Wmw5uySKuGO+y5VsZmCP04&#10;ZoV5BwWnKiI4vABhbF/q0ev3O7X4BQAA//8DAFBLAwQUAAYACAAAACEAlsUD9t8AAAAKAQAADwAA&#10;AGRycy9kb3ducmV2LnhtbEyPwU6EQAyG7ya+w6Qm3twBVggiw4Zo9GKicTXGY4EuoMwMYQYWfXrr&#10;SY9tv/z9/ny36kEsNLneGgXhJgBBprZNb1oFry93FykI59E0OFhDCr7Iwa44Pckxa+zRPNOy963g&#10;EOMyVNB5P2ZSurojjW5jRzJ8O9hJo+dxamUz4ZHD9SCjIEikxt7whw5Huumo/tzPWkG5fN/jU/9Q&#10;xbNN1/eDvC3fHj+UOj9by2sQnlb/B8OvPqtDwU6VnU3jxKAgvQwjRhXE2wQEA1fhlhcVk1GcgCxy&#10;+b9C8QMAAP//AwBQSwECLQAUAAYACAAAACEAtoM4kv4AAADhAQAAEwAAAAAAAAAAAAAAAAAAAAAA&#10;W0NvbnRlbnRfVHlwZXNdLnhtbFBLAQItABQABgAIAAAAIQA4/SH/1gAAAJQBAAALAAAAAAAAAAAA&#10;AAAAAC8BAABfcmVscy8ucmVsc1BLAQItABQABgAIAAAAIQC5MRpWbwIAAO8EAAAOAAAAAAAAAAAA&#10;AAAAAC4CAABkcnMvZTJvRG9jLnhtbFBLAQItABQABgAIAAAAIQCWxQP23wAAAAoBAAAPAAAAAAAA&#10;AAAAAAAAAMkEAABkcnMvZG93bnJldi54bWxQSwUGAAAAAAQABADzAAAA1QUAAAAA&#10;" filled="f" strokecolor="red" strokeweight="2.25pt"/>
            </w:pict>
          </mc:Fallback>
        </mc:AlternateContent>
      </w:r>
      <w:r>
        <w:rPr>
          <w:rFonts w:asciiTheme="minorHAnsi" w:hAnsiTheme="minorHAnsi" w:cstheme="minorHAnsi"/>
          <w:noProof/>
          <w:szCs w:val="20"/>
          <w:lang w:eastAsia="fr-BE"/>
        </w:rPr>
        <mc:AlternateContent>
          <mc:Choice Requires="wps">
            <w:drawing>
              <wp:anchor distT="0" distB="0" distL="114300" distR="114300" simplePos="0" relativeHeight="251684864" behindDoc="0" locked="0" layoutInCell="1" allowOverlap="1">
                <wp:simplePos x="0" y="0"/>
                <wp:positionH relativeFrom="column">
                  <wp:posOffset>4799330</wp:posOffset>
                </wp:positionH>
                <wp:positionV relativeFrom="paragraph">
                  <wp:posOffset>635000</wp:posOffset>
                </wp:positionV>
                <wp:extent cx="495300" cy="0"/>
                <wp:effectExtent l="31750" t="123825" r="44450" b="123825"/>
                <wp:wrapNone/>
                <wp:docPr id="60" name="Lin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5300" cy="0"/>
                        </a:xfrm>
                        <a:prstGeom prst="line">
                          <a:avLst/>
                        </a:prstGeom>
                        <a:noFill/>
                        <a:ln w="571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3"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7.9pt,50pt" to="416.9pt,5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J34LQIAAE0EAAAOAAAAZHJzL2Uyb0RvYy54bWysVE2P2yAQvVfqf0DcE9uJk02sOKvKjnvZ&#10;tpF2+wMI4BgVAwISJ6r63zuQj+62l6qqD3gwM2/evBm8ejz1Eh25dUKrEmfjFCOuqGZC7Uv89aUZ&#10;LTBynihGpFa8xGfu8OP6/bvVYAo+0Z2WjFsEIMoVgylx570pksTRjvfEjbXhCg5bbXviYWv3CbNk&#10;APReJpM0nSeDtsxYTblz8LW+HOJ1xG9bTv2XtnXcI1li4ObjauO6C2uyXpFib4npBL3SIP/AoidC&#10;QdI7VE08QQcr/oDqBbXa6daPqe4T3baC8lgDVJOlv1Xz3BHDYy0gjjN3mdz/g6Wfj1uLBCvxHORR&#10;pIcePQnFUZZNgziDcQX4VGprQ3n0pJ7Nk6bfHFK66oja80jy5WwgMAsRyZuQsHEGUuyGT5qBDzl4&#10;HZU6tbYPkKABOsWGnO8N4SePKHzMl7NpCrzo7SghxS3OWOc/ct2jYJRYAumIS45PzgcepLi5hDRK&#10;N0LK2G6p0FDi2UM2S2OE01KwcBr8nN3vKmnRkcDENE0KT6wKTl67WX1QLKJ1nLDN1fZESLCRj3J4&#10;K0AgyXFI13OGkeRwSYJ14SdVyAjFAuOrdRma78t0uVlsFvkon8w3ozyt69GHpspH8yZ7mNXTuqrq&#10;7Ecgn+VFJxjjKvC/DXCW/92AXK/SZfTuI3xXKnmLHiUFsrd3JB27HRp8GZWdZuetDdWFxsPMRufr&#10;/QqX4vU+ev36C6x/AgAA//8DAFBLAwQUAAYACAAAACEA4czd+90AAAALAQAADwAAAGRycy9kb3du&#10;cmV2LnhtbEyPUUvDQBCE34X+h2MLvtm7WqIl5lJKVZBiH4z+gGtumwvN7YXctY3/3i0I+rgzw+w3&#10;xWr0nTjjENtAGuYzBQKpDralRsPX5+vdEkRMhqzpAqGGb4ywKic3hcltuNAHnqvUCC6hmBsNLqU+&#10;lzLWDr2Js9AjsXcIgzeJz6GRdjAXLvedvFfqQXrTEn9wpseNw/pYnbyGnT+8q+PLs9q1bt1jtc2q&#10;5i3T+nY6rp9AJBzTXxiu+IwOJTPtw4lsFJ2Gxyxj9MSGUjyKE8vFgpX9ryLLQv7fUP4AAAD//wMA&#10;UEsBAi0AFAAGAAgAAAAhALaDOJL+AAAA4QEAABMAAAAAAAAAAAAAAAAAAAAAAFtDb250ZW50X1R5&#10;cGVzXS54bWxQSwECLQAUAAYACAAAACEAOP0h/9YAAACUAQAACwAAAAAAAAAAAAAAAAAvAQAAX3Jl&#10;bHMvLnJlbHNQSwECLQAUAAYACAAAACEAVtyd+C0CAABNBAAADgAAAAAAAAAAAAAAAAAuAgAAZHJz&#10;L2Uyb0RvYy54bWxQSwECLQAUAAYACAAAACEA4czd+90AAAALAQAADwAAAAAAAAAAAAAAAACHBAAA&#10;ZHJzL2Rvd25yZXYueG1sUEsFBgAAAAAEAAQA8wAAAJEFAAAAAA==&#10;" strokecolor="red" strokeweight="4.5pt">
                <v:stroke endarrow="block"/>
              </v:line>
            </w:pict>
          </mc:Fallback>
        </mc:AlternateContent>
      </w:r>
      <w:r>
        <w:rPr>
          <w:rFonts w:asciiTheme="minorHAnsi" w:hAnsiTheme="minorHAnsi" w:cstheme="minorHAnsi"/>
          <w:noProof/>
          <w:szCs w:val="20"/>
          <w:lang w:eastAsia="fr-BE"/>
        </w:rPr>
        <w:drawing>
          <wp:inline distT="0" distB="0" distL="0" distR="0">
            <wp:extent cx="5753735" cy="1496060"/>
            <wp:effectExtent l="19050" t="19050" r="18415" b="27940"/>
            <wp:docPr id="52" name="Image 52" descr="modifier propriétés esp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odifier propriétés espac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53735" cy="149606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Vous pouvez alors modifier le nom selon vos souhaits (1) et cliquer sur « Ok » (2).</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La démarche est identique si vous souhaitez modifier le nom d’un fichier.</w:t>
      </w:r>
    </w:p>
    <w:p>
      <w:pPr>
        <w:pStyle w:val="Paragraphedeliste"/>
        <w:numPr>
          <w:ilvl w:val="1"/>
          <w:numId w:val="91"/>
        </w:numPr>
        <w:spacing w:after="240" w:line="276" w:lineRule="auto"/>
        <w:ind w:left="709"/>
        <w:jc w:val="both"/>
        <w:rPr>
          <w:rFonts w:asciiTheme="minorHAnsi" w:hAnsiTheme="minorHAnsi" w:cstheme="minorHAnsi"/>
          <w:b/>
          <w:szCs w:val="20"/>
        </w:rPr>
      </w:pPr>
      <w:r>
        <w:rPr>
          <w:rFonts w:asciiTheme="minorHAnsi" w:hAnsiTheme="minorHAnsi" w:cstheme="minorHAnsi"/>
          <w:b/>
          <w:szCs w:val="20"/>
        </w:rPr>
        <w:t>Télécharger un document</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 partage a été conçu pour permettre à l’Administration de vous mettre des documents à disposition.</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Afin de pouvoir les enregistrer sur votre ordinateur, il suffit simplement d’utiliser l’action « télécharger » dans la colonne Actions située à droite du document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mc:AlternateContent>
          <mc:Choice Requires="wps">
            <w:drawing>
              <wp:anchor distT="0" distB="0" distL="114300" distR="114300" simplePos="0" relativeHeight="251685888" behindDoc="0" locked="0" layoutInCell="1" allowOverlap="1">
                <wp:simplePos x="0" y="0"/>
                <wp:positionH relativeFrom="column">
                  <wp:posOffset>2560320</wp:posOffset>
                </wp:positionH>
                <wp:positionV relativeFrom="paragraph">
                  <wp:posOffset>144145</wp:posOffset>
                </wp:positionV>
                <wp:extent cx="457200" cy="457200"/>
                <wp:effectExtent l="21590" t="19685" r="16510" b="18415"/>
                <wp:wrapNone/>
                <wp:docPr id="56" name="Oval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4" o:spid="_x0000_s1026" style="position:absolute;margin-left:201.6pt;margin-top:11.35pt;width:36pt;height:3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rdfbwIAAO8EAAAOAAAAZHJzL2Uyb0RvYy54bWysVFFv2yAQfp+0/4B4T21nTppadaoqjqdJ&#10;3Vqp2w8ggGM0DAxInG7qf9+BnSxtX6ZpfsAHBx/33X3H9c2hk2jPrRNalTi7SDHiimom1LbE377W&#10;kwVGzhPFiNSKl/iJO3yzfP/uujcFn+pWS8YtAhDlit6UuPXeFEniaMs74i604QqcjbYd8TC124RZ&#10;0gN6J5Npms6TXltmrKbcOVitBideRvym4dTfN43jHskSQ2w+jjaOmzAmy2tSbC0xraBjGOQfouiI&#10;UHDpCaoinqCdFW+gOkGtdrrxF1R3iW4aQXnkAGyy9BWbx5YYHrlAcpw5pcn9P1j6Zf9gkWAlns0x&#10;UqSDGt3viURZlofk9MYVsOfRPNhAz5k7Tb87pPSqJWrLb63VfcsJg5CysD95cSBMHBxFm/6zZgBN&#10;dl7HPB0a2wVAyAA6xHI8ncrBDx5RWMxnl1BijCi4RjvcQIrjYWOd/8h1h4JRYi6lMC4kjBRkf+f8&#10;sPu4KywrXQspYZ0UUqG+xNPF7HIWTzgtBQve4HR2u1lJiyATJa7rFL7IDjzn26zeKRbRQg7Wo+2J&#10;kIMNsUoV8IASxDNagzB+XaVX68V6kU/y6Xw9ydOqmtzWq3wyr7PLWfWhWq2q7DmEluVFKxjjKkR3&#10;FGmW/50IxnYZ5HWS6QsWr8jW8L0lm7wMI9YBWB3/kV0sfqj3oJuNZk9Qe6uHroNXAoxW258Y9dBx&#10;JXY/dsRyjOQnBfq5yvI8tGicxHpjZM89m3MPURSgSuwxGsyVH9p6Z6zYtnBTFsuq9C1orhFRDEGP&#10;Q1SjUqGrIoPxBQhtez6Pu/68U8vfAAAA//8DAFBLAwQUAAYACAAAACEAJsVq0OAAAAAJAQAADwAA&#10;AGRycy9kb3ducmV2LnhtbEyPwU6EMBCG7ya+QzMm3twisrIiZUM0ejHRuBrjsdBZQOmU0MKiT+94&#10;0uPMfPnn+/PtYnsx4+g7RwrOVxEIpNqZjhoFry93ZxsQPmgyuneECr7Qw7Y4Psp1ZtyBnnHehUZw&#10;CPlMK2hDGDIpfd2i1X7lBiS+7d1odeBxbKQZ9YHDbS/jKLqUVnfEH1o94E2L9edusgrK+fteP3UP&#10;1Xpym+V9L2/Lt8cPpU5PlvIaRMAl/MHwq8/qULBT5SYyXvQKkugiZlRBHKcgGEjSNS8qBVdJCrLI&#10;5f8GxQ8AAAD//wMAUEsBAi0AFAAGAAgAAAAhALaDOJL+AAAA4QEAABMAAAAAAAAAAAAAAAAAAAAA&#10;AFtDb250ZW50X1R5cGVzXS54bWxQSwECLQAUAAYACAAAACEAOP0h/9YAAACUAQAACwAAAAAAAAAA&#10;AAAAAAAvAQAAX3JlbHMvLnJlbHNQSwECLQAUAAYACAAAACEAFC63X28CAADvBAAADgAAAAAAAAAA&#10;AAAAAAAuAgAAZHJzL2Uyb0RvYy54bWxQSwECLQAUAAYACAAAACEAJsVq0OAAAAAJAQAADwAAAAAA&#10;AAAAAAAAAADJBAAAZHJzL2Rvd25yZXYueG1sUEsFBgAAAAAEAAQA8wAAANYFAAAAAA==&#10;" filled="f" strokecolor="red" strokeweight="2.25pt"/>
            </w:pict>
          </mc:Fallback>
        </mc:AlternateContent>
      </w:r>
      <w:r>
        <w:rPr>
          <w:rFonts w:asciiTheme="minorHAnsi" w:hAnsiTheme="minorHAnsi" w:cstheme="minorHAnsi"/>
          <w:noProof/>
          <w:szCs w:val="20"/>
          <w:lang w:eastAsia="fr-BE"/>
        </w:rPr>
        <w:drawing>
          <wp:inline distT="0" distB="0" distL="0" distR="0">
            <wp:extent cx="1971040" cy="605790"/>
            <wp:effectExtent l="19050" t="19050" r="10160" b="22860"/>
            <wp:docPr id="53" name="Image 53" descr="Action téléchar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ction télécharge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71040" cy="60579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La fenêtre suivante s’ouvre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3147237" cy="2353601"/>
            <wp:effectExtent l="19050" t="19050" r="15240" b="27940"/>
            <wp:docPr id="54" name="Image 54" descr="zoom téléchar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zoom télécharge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55646" cy="235989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Sélectionner ‘Ouvrir avec’ et cliquer ensuite sur « Ok ». Le document s’ouvre alors et il ne vous reste qu’à l’enregistrer à l’endroit désiré.</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Vous pouvez bien évidemment également utiliser le lien CIFS et copier/coller les documents d’un navigateur Windows à l’autre.</w:t>
      </w:r>
    </w:p>
    <w:p>
      <w:pPr>
        <w:pStyle w:val="Titre1"/>
        <w:keepNext w:val="0"/>
        <w:numPr>
          <w:ilvl w:val="0"/>
          <w:numId w:val="91"/>
        </w:numPr>
        <w:spacing w:after="240" w:line="276" w:lineRule="auto"/>
        <w:ind w:left="425" w:hanging="425"/>
        <w:jc w:val="both"/>
        <w:rPr>
          <w:rFonts w:asciiTheme="minorHAnsi" w:hAnsiTheme="minorHAnsi" w:cstheme="minorHAnsi"/>
          <w:bCs w:val="0"/>
          <w:sz w:val="28"/>
          <w:szCs w:val="28"/>
          <w:u w:val="single"/>
        </w:rPr>
      </w:pPr>
      <w:bookmarkStart w:id="25" w:name="_Toc440442408"/>
      <w:r>
        <w:rPr>
          <w:rFonts w:asciiTheme="minorHAnsi" w:hAnsiTheme="minorHAnsi" w:cstheme="minorHAnsi"/>
          <w:bCs w:val="0"/>
          <w:sz w:val="28"/>
          <w:szCs w:val="28"/>
          <w:u w:val="single"/>
        </w:rPr>
        <w:t>CONTENU DU DOSSIER COMMUN.MFWB</w:t>
      </w:r>
      <w:bookmarkEnd w:id="25"/>
    </w:p>
    <w:p>
      <w:pPr>
        <w:spacing w:after="120" w:line="276" w:lineRule="auto"/>
        <w:jc w:val="both"/>
        <w:rPr>
          <w:rFonts w:asciiTheme="minorHAnsi" w:hAnsiTheme="minorHAnsi" w:cstheme="minorHAnsi"/>
          <w:sz w:val="20"/>
          <w:szCs w:val="20"/>
        </w:rPr>
      </w:pPr>
      <w:bookmarkStart w:id="26" w:name="_Toc291841806"/>
      <w:bookmarkStart w:id="27" w:name="_Toc291841939"/>
      <w:bookmarkStart w:id="28" w:name="_Toc291842559"/>
      <w:bookmarkStart w:id="29" w:name="_Toc333502560"/>
      <w:r>
        <w:rPr>
          <w:rFonts w:asciiTheme="minorHAnsi" w:hAnsiTheme="minorHAnsi" w:cstheme="minorHAnsi"/>
          <w:sz w:val="20"/>
          <w:szCs w:val="20"/>
        </w:rPr>
        <w:t>Le dossier « Commun.Mfwb » contient tous les documents et informations que l’Administration souhaite mettre à votre disposition. Ils sont téléchargeables sur votre ordinateur afin que vous puissiez en disposer à n’importe quel moment.</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 xml:space="preserve">Attention, les documents ne vous sont accessibles qu’en consultation et sont uniquement présents pour être sauvés sur votre PC. </w:t>
      </w:r>
      <w:r>
        <w:rPr>
          <w:rFonts w:asciiTheme="minorHAnsi" w:hAnsiTheme="minorHAnsi" w:cstheme="minorHAnsi"/>
          <w:b/>
          <w:sz w:val="20"/>
          <w:szCs w:val="20"/>
          <w:u w:val="single"/>
        </w:rPr>
        <w:t>Il n’est pas possible de les modifier ou de les supprimer.</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 « Commun.Mfwb » contient les dossiers suivants :</w:t>
      </w:r>
    </w:p>
    <w:p>
      <w:pPr>
        <w:spacing w:after="120" w:line="276" w:lineRule="auto"/>
        <w:jc w:val="center"/>
        <w:rPr>
          <w:rFonts w:asciiTheme="minorHAnsi" w:hAnsiTheme="minorHAnsi" w:cstheme="minorHAnsi"/>
          <w:szCs w:val="20"/>
        </w:rPr>
      </w:pPr>
      <w:r>
        <w:rPr>
          <w:rFonts w:asciiTheme="minorHAnsi" w:hAnsiTheme="minorHAnsi" w:cstheme="minorHAnsi"/>
          <w:noProof/>
          <w:szCs w:val="20"/>
          <w:lang w:eastAsia="fr-BE"/>
        </w:rPr>
        <w:drawing>
          <wp:inline distT="0" distB="0" distL="0" distR="0">
            <wp:extent cx="1670735" cy="2371060"/>
            <wp:effectExtent l="19050" t="19050" r="24765" b="10795"/>
            <wp:docPr id="55" name="Image 55" descr="Dossiers Commun Mfw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ossiers Commun Mfwb"/>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80175" cy="2384457"/>
                    </a:xfrm>
                    <a:prstGeom prst="rect">
                      <a:avLst/>
                    </a:prstGeom>
                    <a:noFill/>
                    <a:ln w="6350" cmpd="sng">
                      <a:solidFill>
                        <a:srgbClr val="000000"/>
                      </a:solidFill>
                      <a:miter lim="800000"/>
                      <a:headEnd/>
                      <a:tailEnd/>
                    </a:ln>
                    <a:effectLst/>
                  </pic:spPr>
                </pic:pic>
              </a:graphicData>
            </a:graphic>
          </wp:inline>
        </w:drawing>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Analyse de risques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Une des obligations de chaque CTA est de constituer, lors de son ouverture au public, une analyse des risques encourus lors de l’utilisation des équipements et des mesures de sécurité à respecter lors des formations. Elle doit être transmise à chaque utilisateur en prévision des formations.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Cette analyse doit être réalisée avec votre conseiller en prévention. Néanmoins, un guide élaboré par le SPF Emploi, Travail et Concertation sociale a été rédigé en 2009 et constitue un ouvrage intéressant pour vous guider dans la construction de votre analyse. Une brochure papier est distribuée aux coordinateurs qui entrent en fonction. Elle est dorénavant également à votre disposition sur ce partage.</w:t>
      </w:r>
    </w:p>
    <w:p>
      <w:pPr>
        <w:pStyle w:val="Paragraphedeliste"/>
        <w:numPr>
          <w:ilvl w:val="1"/>
          <w:numId w:val="91"/>
        </w:numPr>
        <w:spacing w:after="240" w:line="276" w:lineRule="auto"/>
        <w:ind w:left="709"/>
        <w:jc w:val="both"/>
        <w:rPr>
          <w:rFonts w:asciiTheme="minorHAnsi" w:hAnsiTheme="minorHAnsi" w:cstheme="minorHAnsi"/>
          <w:b/>
          <w:szCs w:val="20"/>
        </w:rPr>
      </w:pPr>
      <w:r>
        <w:rPr>
          <w:rFonts w:asciiTheme="minorHAnsi" w:hAnsiTheme="minorHAnsi" w:cstheme="minorHAnsi"/>
          <w:b/>
          <w:szCs w:val="20"/>
        </w:rPr>
        <w:t>Assurance équipements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Dans ce dossier, vous trouverez toutes les informations utiles à l’assurance des équipements de votre CTA acquis par la Fédération Wallonie-Bruxelles et le FEDER : </w:t>
      </w:r>
    </w:p>
    <w:p>
      <w:pPr>
        <w:numPr>
          <w:ilvl w:val="0"/>
          <w:numId w:val="59"/>
        </w:numPr>
        <w:spacing w:after="120" w:line="276" w:lineRule="auto"/>
        <w:ind w:left="714" w:hanging="357"/>
        <w:jc w:val="both"/>
        <w:rPr>
          <w:rFonts w:asciiTheme="minorHAnsi" w:hAnsiTheme="minorHAnsi" w:cstheme="minorHAnsi"/>
          <w:sz w:val="20"/>
          <w:szCs w:val="20"/>
        </w:rPr>
      </w:pPr>
      <w:r>
        <w:rPr>
          <w:rFonts w:asciiTheme="minorHAnsi" w:hAnsiTheme="minorHAnsi" w:cstheme="minorHAnsi"/>
          <w:sz w:val="20"/>
          <w:szCs w:val="20"/>
        </w:rPr>
        <w:t>la police d’assurance spécifique à votre centre</w:t>
      </w:r>
    </w:p>
    <w:p>
      <w:pPr>
        <w:numPr>
          <w:ilvl w:val="0"/>
          <w:numId w:val="59"/>
        </w:numPr>
        <w:spacing w:after="120" w:line="276" w:lineRule="auto"/>
        <w:ind w:left="714" w:hanging="357"/>
        <w:jc w:val="both"/>
        <w:rPr>
          <w:rFonts w:asciiTheme="minorHAnsi" w:hAnsiTheme="minorHAnsi" w:cstheme="minorHAnsi"/>
          <w:sz w:val="20"/>
          <w:szCs w:val="20"/>
        </w:rPr>
      </w:pPr>
      <w:r>
        <w:rPr>
          <w:rFonts w:asciiTheme="minorHAnsi" w:hAnsiTheme="minorHAnsi" w:cstheme="minorHAnsi"/>
          <w:sz w:val="20"/>
          <w:szCs w:val="20"/>
        </w:rPr>
        <w:t>les conditions générales de l’assurance</w:t>
      </w:r>
    </w:p>
    <w:p>
      <w:pPr>
        <w:numPr>
          <w:ilvl w:val="0"/>
          <w:numId w:val="59"/>
        </w:numPr>
        <w:spacing w:after="120" w:line="276" w:lineRule="auto"/>
        <w:ind w:left="714" w:hanging="357"/>
        <w:jc w:val="both"/>
        <w:rPr>
          <w:rFonts w:asciiTheme="minorHAnsi" w:hAnsiTheme="minorHAnsi" w:cstheme="minorHAnsi"/>
          <w:sz w:val="20"/>
          <w:szCs w:val="20"/>
        </w:rPr>
      </w:pPr>
      <w:r>
        <w:rPr>
          <w:rFonts w:asciiTheme="minorHAnsi" w:hAnsiTheme="minorHAnsi" w:cstheme="minorHAnsi"/>
          <w:sz w:val="20"/>
          <w:szCs w:val="20"/>
        </w:rPr>
        <w:t>un modèle de déclaration d’accident</w:t>
      </w:r>
    </w:p>
    <w:p>
      <w:pPr>
        <w:numPr>
          <w:ilvl w:val="0"/>
          <w:numId w:val="59"/>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un modèle de déclaration de créance</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Conventions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Ce dossier reprend les différents modèles de convention générale et spécifique nécessaires à l’accueil de vos différents publics.</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Coordonnées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Dans ce dossier se trouve toutes les coordonnées utiles : coordonnées de tous les CTA, Directions et PO, coordonnées des Centres de Compétence et de Référence professionnelle, coordonnées de l’administration et des chefs de projets IPIEQ, etc.</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lastRenderedPageBreak/>
        <w:t>Déclassement de matériel</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Un de vos équipements est définitivement inutilisable ? Consultez les documents mis à disposition dans ce dossier pour connaître les démarches à suivre afin de la déclasser.</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Encodage Fréquentations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Dans ce dossier vous trouverez l’adresse pour accéder au formulaire d’encodage ainsi que son vade-mecum d’utilisation conçu pour vous accompagner pas à pas dans vos encodages.</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Frais de déplacement et d’hébergement</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Sont accessibles dans ce dossier tous les documents relatifs aux demandes de remboursement des frais de déplacement et d’hébergement encourus par les utilisateurs ainsi que le vade-mecum qui contient toutes les informations utiles à connaître (comment constituer un dossier de demande de remboursement, quels documents utiliser dans quels cas, quels sont les déplacements qui sont remboursés et ceux qui ne le sont pas, etc.).</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Modèles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Dans ce dossier sont regroupés tous les modèles de documents utiles à la gestion administrative de votre CTA : rapport d’activités annuel, Règlement d’Ordre Intérieur, déclarations de créance, etc.</w:t>
      </w:r>
    </w:p>
    <w:p>
      <w:pPr>
        <w:pStyle w:val="Paragraphedeliste"/>
        <w:numPr>
          <w:ilvl w:val="1"/>
          <w:numId w:val="91"/>
        </w:numPr>
        <w:spacing w:after="240" w:line="276" w:lineRule="auto"/>
        <w:ind w:left="709"/>
        <w:jc w:val="both"/>
        <w:rPr>
          <w:rFonts w:asciiTheme="minorHAnsi" w:hAnsiTheme="minorHAnsi" w:cstheme="minorHAnsi"/>
          <w:b/>
          <w:szCs w:val="20"/>
        </w:rPr>
      </w:pPr>
      <w:r>
        <w:rPr>
          <w:rFonts w:asciiTheme="minorHAnsi" w:hAnsiTheme="minorHAnsi" w:cstheme="minorHAnsi"/>
          <w:b/>
          <w:szCs w:val="20"/>
        </w:rPr>
        <w:t>Obligations CTA</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Ici sont regroupés trois documents qui précisent les obligations auxquelles les CTA doivent répondre, que ce soit vis-à-vis de l’Administration, des utilisateurs ou des pouvoirs subsidiant (obligations de publicité FEDER et FWB).</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Rapports d’activités Réseau CTA</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Actuellement sont entreposés dans ce dossier les rapports d’activités du réseau CTA pour la période septembre 2011-décembre 2012 et l’année civile 2013. Le rapport d’activités 2014 ainsi que l’évaluation du dispositif CTA pour les années 2012 à 2014 seront bientôt également disponibles.</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Réglementation</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L’administration ne pouvait pas mettre un partage à votre disposition sans y mettre les textes fondateurs du dispositif. Dans ce dossier vous trouverez les nouveaux accords de coopération et le décret du 11 avril 2014 organisant le fonctionnement des Centres de Technologies Avancées.</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Réunions de coordination CTA</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Sont concentrées dans ce dossier toutes les présentations des réunions de coordination CTA ainsi que les PV de ces réunions.</w:t>
      </w:r>
    </w:p>
    <w:p>
      <w:pPr>
        <w:pStyle w:val="Paragraphedeliste"/>
        <w:numPr>
          <w:ilvl w:val="1"/>
          <w:numId w:val="91"/>
        </w:numPr>
        <w:spacing w:before="240" w:after="240" w:line="276" w:lineRule="auto"/>
        <w:ind w:left="709"/>
        <w:jc w:val="both"/>
        <w:rPr>
          <w:rFonts w:asciiTheme="minorHAnsi" w:hAnsiTheme="minorHAnsi" w:cstheme="minorHAnsi"/>
          <w:b/>
          <w:szCs w:val="20"/>
        </w:rPr>
      </w:pPr>
      <w:r>
        <w:rPr>
          <w:rFonts w:asciiTheme="minorHAnsi" w:hAnsiTheme="minorHAnsi" w:cstheme="minorHAnsi"/>
          <w:b/>
          <w:szCs w:val="20"/>
        </w:rPr>
        <w:t>Supports de communication</w:t>
      </w:r>
    </w:p>
    <w:p>
      <w:pPr>
        <w:spacing w:after="120" w:line="276" w:lineRule="auto"/>
        <w:jc w:val="both"/>
        <w:rPr>
          <w:rFonts w:ascii="Calibri" w:hAnsi="Calibri" w:cs="Calibri"/>
          <w:sz w:val="22"/>
          <w:szCs w:val="22"/>
        </w:rPr>
      </w:pPr>
      <w:r>
        <w:rPr>
          <w:rFonts w:asciiTheme="minorHAnsi" w:hAnsiTheme="minorHAnsi" w:cstheme="minorHAnsi"/>
          <w:sz w:val="20"/>
          <w:szCs w:val="20"/>
        </w:rPr>
        <w:t>Vous avez un événement prochainement et vous souhaitez distribuer de la documentation concernant votre CTA, les CTA de votre région ou du même secteur que le vôtre ? Nos triptyques sont à votre disposition dans ce dossier. Il ne vous reste qu’à les faire imprimer.</w:t>
      </w:r>
      <w:bookmarkEnd w:id="26"/>
      <w:bookmarkEnd w:id="27"/>
      <w:bookmarkEnd w:id="28"/>
      <w:bookmarkEnd w:id="29"/>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both"/>
        <w:rPr>
          <w:rFonts w:ascii="Calibri" w:hAnsi="Calibri" w:cs="Calibri"/>
          <w:sz w:val="22"/>
          <w:szCs w:val="22"/>
        </w:rPr>
      </w:pPr>
    </w:p>
    <w:p>
      <w:pPr>
        <w:spacing w:before="240" w:after="240"/>
        <w:jc w:val="center"/>
        <w:rPr>
          <w:rFonts w:ascii="Calibri" w:hAnsi="Calibri" w:cs="Calibri"/>
          <w:b/>
          <w:caps/>
          <w:sz w:val="36"/>
          <w:szCs w:val="36"/>
          <w:u w:val="single"/>
        </w:rPr>
      </w:pPr>
      <w:r>
        <w:rPr>
          <w:rFonts w:ascii="Calibri" w:hAnsi="Calibri" w:cs="Calibri"/>
          <w:b/>
          <w:caps/>
          <w:sz w:val="36"/>
          <w:szCs w:val="36"/>
          <w:u w:val="single"/>
        </w:rPr>
        <w:t>Annexe 18</w:t>
      </w:r>
    </w:p>
    <w:p>
      <w:pPr>
        <w:spacing w:before="240" w:after="240"/>
        <w:jc w:val="center"/>
        <w:rPr>
          <w:rFonts w:ascii="Calibri" w:hAnsi="Calibri" w:cs="Calibri"/>
          <w:b/>
          <w:sz w:val="36"/>
          <w:szCs w:val="36"/>
        </w:rPr>
      </w:pPr>
      <w:r>
        <w:rPr>
          <w:rFonts w:ascii="Calibri" w:hAnsi="Calibri" w:cs="Calibri"/>
          <w:b/>
          <w:sz w:val="36"/>
          <w:szCs w:val="36"/>
        </w:rPr>
        <w:t>Vade-mecum d’utilisation du formulaire d’encodage des formations</w:t>
      </w:r>
    </w:p>
    <w:p>
      <w:pPr>
        <w:spacing w:line="360" w:lineRule="auto"/>
        <w:jc w:val="center"/>
        <w:rPr>
          <w:rFonts w:asciiTheme="minorHAnsi" w:hAnsiTheme="minorHAnsi" w:cstheme="minorHAnsi"/>
          <w:b/>
          <w:bCs/>
          <w:color w:val="000000"/>
          <w:sz w:val="28"/>
          <w:szCs w:val="28"/>
        </w:rPr>
      </w:pPr>
      <w:r>
        <w:rPr>
          <w:rFonts w:ascii="Calibri" w:hAnsi="Calibri" w:cs="Calibri"/>
          <w:b/>
          <w:sz w:val="28"/>
          <w:szCs w:val="28"/>
          <w:u w:val="single"/>
        </w:rPr>
        <w:br w:type="page"/>
      </w:r>
    </w:p>
    <w:p>
      <w:pPr>
        <w:pStyle w:val="Titre1"/>
        <w:keepNext w:val="0"/>
        <w:numPr>
          <w:ilvl w:val="0"/>
          <w:numId w:val="90"/>
        </w:numPr>
        <w:tabs>
          <w:tab w:val="clear" w:pos="720"/>
          <w:tab w:val="num" w:pos="426"/>
        </w:tabs>
        <w:spacing w:before="0" w:after="240" w:line="276" w:lineRule="auto"/>
        <w:ind w:left="425" w:hanging="357"/>
        <w:jc w:val="both"/>
        <w:rPr>
          <w:rFonts w:asciiTheme="minorHAnsi" w:hAnsiTheme="minorHAnsi" w:cstheme="minorHAnsi"/>
          <w:bCs w:val="0"/>
          <w:sz w:val="28"/>
          <w:szCs w:val="28"/>
          <w:u w:val="single"/>
        </w:rPr>
      </w:pPr>
      <w:r>
        <w:rPr>
          <w:rFonts w:asciiTheme="minorHAnsi" w:hAnsiTheme="minorHAnsi" w:cstheme="minorHAnsi"/>
          <w:sz w:val="28"/>
          <w:szCs w:val="28"/>
          <w:u w:val="single"/>
        </w:rPr>
        <w:lastRenderedPageBreak/>
        <w:t>GENERALITES</w:t>
      </w:r>
    </w:p>
    <w:p>
      <w:pPr>
        <w:pStyle w:val="Paragraphevademecumformif"/>
        <w:spacing w:before="0" w:after="120" w:line="276" w:lineRule="auto"/>
        <w:rPr>
          <w:rFonts w:asciiTheme="minorHAnsi" w:hAnsiTheme="minorHAnsi" w:cstheme="minorHAnsi"/>
          <w:lang w:val="fr-BE"/>
        </w:rPr>
      </w:pPr>
      <w:r>
        <w:rPr>
          <w:rFonts w:asciiTheme="minorHAnsi" w:hAnsiTheme="minorHAnsi" w:cstheme="minorHAnsi"/>
          <w:lang w:val="fr-BE"/>
        </w:rPr>
        <w:t>Ce vade-mecum a été conçu pour vous accompagner pas à pas dans l’encodage des données de fréquentation générées dans le cadre des formations organisées dans votre Centre de Technologies Avancées.</w:t>
      </w:r>
    </w:p>
    <w:p>
      <w:pPr>
        <w:pStyle w:val="Paragraphevademecumformif"/>
        <w:spacing w:before="0" w:after="120" w:line="276" w:lineRule="auto"/>
        <w:rPr>
          <w:rFonts w:asciiTheme="minorHAnsi" w:hAnsiTheme="minorHAnsi" w:cstheme="minorHAnsi"/>
          <w:lang w:val="fr-BE"/>
        </w:rPr>
      </w:pPr>
      <w:r>
        <w:rPr>
          <w:rFonts w:asciiTheme="minorHAnsi" w:hAnsiTheme="minorHAnsi" w:cstheme="minorHAnsi"/>
          <w:lang w:val="fr-BE"/>
        </w:rPr>
        <w:t>La collecte de ces informations poursuit plusieurs objectifs :</w:t>
      </w:r>
    </w:p>
    <w:p>
      <w:pPr>
        <w:pStyle w:val="Paragraphevademecumformif"/>
        <w:numPr>
          <w:ilvl w:val="0"/>
          <w:numId w:val="84"/>
        </w:numPr>
        <w:spacing w:before="0" w:after="120" w:line="276" w:lineRule="auto"/>
        <w:rPr>
          <w:rFonts w:asciiTheme="minorHAnsi" w:hAnsiTheme="minorHAnsi" w:cstheme="minorHAnsi"/>
          <w:bCs/>
          <w:iCs/>
          <w:noProof/>
          <w:lang w:val="fr-BE"/>
        </w:rPr>
      </w:pPr>
      <w:r>
        <w:rPr>
          <w:rFonts w:asciiTheme="minorHAnsi" w:hAnsiTheme="minorHAnsi" w:cstheme="minorHAnsi"/>
          <w:bCs/>
          <w:iCs/>
          <w:noProof/>
          <w:lang w:val="fr-BE"/>
        </w:rPr>
        <w:t>simplifier la charge administrative de gestion de votre CTA ;</w:t>
      </w:r>
    </w:p>
    <w:p>
      <w:pPr>
        <w:pStyle w:val="Paragraphevademecumformif"/>
        <w:numPr>
          <w:ilvl w:val="0"/>
          <w:numId w:val="84"/>
        </w:numPr>
        <w:spacing w:before="0" w:after="120" w:line="276" w:lineRule="auto"/>
        <w:rPr>
          <w:rFonts w:asciiTheme="minorHAnsi" w:hAnsiTheme="minorHAnsi" w:cstheme="minorHAnsi"/>
          <w:bCs/>
          <w:iCs/>
          <w:noProof/>
          <w:lang w:val="fr-BE"/>
        </w:rPr>
      </w:pPr>
      <w:r>
        <w:rPr>
          <w:rFonts w:asciiTheme="minorHAnsi" w:hAnsiTheme="minorHAnsi" w:cstheme="minorHAnsi"/>
          <w:bCs/>
          <w:iCs/>
          <w:noProof/>
          <w:lang w:val="fr-BE"/>
        </w:rPr>
        <w:t>produire des données statistiques en recensant les formations et leurs fréquentations en vertu du Décret du 11 avril 2014 ;</w:t>
      </w:r>
    </w:p>
    <w:p>
      <w:pPr>
        <w:pStyle w:val="Paragraphevademecumformif"/>
        <w:numPr>
          <w:ilvl w:val="0"/>
          <w:numId w:val="84"/>
        </w:numPr>
        <w:spacing w:before="0" w:after="120" w:line="276" w:lineRule="auto"/>
        <w:rPr>
          <w:rFonts w:asciiTheme="minorHAnsi" w:hAnsiTheme="minorHAnsi" w:cstheme="minorHAnsi"/>
          <w:bCs/>
          <w:iCs/>
          <w:noProof/>
          <w:lang w:val="fr-BE"/>
        </w:rPr>
      </w:pPr>
      <w:r>
        <w:rPr>
          <w:rFonts w:asciiTheme="minorHAnsi" w:hAnsiTheme="minorHAnsi" w:cstheme="minorHAnsi"/>
          <w:bCs/>
          <w:iCs/>
          <w:noProof/>
          <w:lang w:val="fr-BE"/>
        </w:rPr>
        <w:t>fournir les justificatifs pour la liquidation des subsides de fonctionnement octroyés annuellement à votre centre ;</w:t>
      </w:r>
    </w:p>
    <w:p>
      <w:pPr>
        <w:pStyle w:val="Paragraphevademecumformif"/>
        <w:numPr>
          <w:ilvl w:val="0"/>
          <w:numId w:val="84"/>
        </w:numPr>
        <w:spacing w:before="0" w:after="120" w:line="276" w:lineRule="auto"/>
        <w:rPr>
          <w:rFonts w:asciiTheme="minorHAnsi" w:hAnsiTheme="minorHAnsi" w:cstheme="minorHAnsi"/>
          <w:bCs/>
          <w:iCs/>
          <w:noProof/>
        </w:rPr>
      </w:pPr>
      <w:r>
        <w:rPr>
          <w:rFonts w:asciiTheme="minorHAnsi" w:hAnsiTheme="minorHAnsi" w:cstheme="minorHAnsi"/>
          <w:bCs/>
          <w:iCs/>
          <w:noProof/>
          <w:lang w:val="fr-BE"/>
        </w:rPr>
        <w:t>établir les indicateurs de résultat obligatoires pour les rapports d’activités et le reporting de l’utilisation des Fonds structurels européens ;</w:t>
      </w:r>
    </w:p>
    <w:p>
      <w:pPr>
        <w:pStyle w:val="Paragraphevademecumformif"/>
        <w:numPr>
          <w:ilvl w:val="0"/>
          <w:numId w:val="84"/>
        </w:numPr>
        <w:spacing w:before="0" w:after="120" w:line="276" w:lineRule="auto"/>
        <w:rPr>
          <w:rFonts w:asciiTheme="minorHAnsi" w:hAnsiTheme="minorHAnsi" w:cstheme="minorHAnsi"/>
          <w:lang w:val="fr-BE"/>
        </w:rPr>
      </w:pPr>
      <w:r>
        <w:rPr>
          <w:rFonts w:asciiTheme="minorHAnsi" w:hAnsiTheme="minorHAnsi" w:cstheme="minorHAnsi"/>
          <w:bCs/>
          <w:iCs/>
          <w:noProof/>
          <w:lang w:val="fr-BE"/>
        </w:rPr>
        <w:t>établir les indicateurs de résultat obligatoires pour la conservation du label « CTA » auprès des instances compétentes ;</w:t>
      </w:r>
    </w:p>
    <w:p>
      <w:pPr>
        <w:pStyle w:val="Paragraphevademecumformif"/>
        <w:numPr>
          <w:ilvl w:val="0"/>
          <w:numId w:val="84"/>
        </w:numPr>
        <w:spacing w:before="0" w:after="120" w:line="276" w:lineRule="auto"/>
        <w:ind w:left="714" w:hanging="357"/>
        <w:rPr>
          <w:rFonts w:asciiTheme="minorHAnsi" w:hAnsiTheme="minorHAnsi" w:cstheme="minorHAnsi"/>
          <w:lang w:val="fr-BE"/>
        </w:rPr>
      </w:pPr>
      <w:r>
        <w:rPr>
          <w:rFonts w:asciiTheme="minorHAnsi" w:hAnsiTheme="minorHAnsi" w:cstheme="minorHAnsi"/>
          <w:bCs/>
          <w:iCs/>
          <w:noProof/>
        </w:rPr>
        <w:t xml:space="preserve">rendre </w:t>
      </w:r>
      <w:r>
        <w:rPr>
          <w:rFonts w:asciiTheme="minorHAnsi" w:hAnsiTheme="minorHAnsi" w:cstheme="minorHAnsi"/>
          <w:bCs/>
          <w:iCs/>
          <w:noProof/>
          <w:lang w:val="fr-BE"/>
        </w:rPr>
        <w:t>accessible un maximum de documents nécessaires à la bonne gestion de votre CTA (listes de présences à signer, attestations de fréquentation aux formations, bordereaux récapitulatifs des données relatives à une formation, documents de demande de remboursement de frais de déplacemenbt et/ou d’hébergement, convention spécifique).</w:t>
      </w:r>
    </w:p>
    <w:p>
      <w:pPr>
        <w:pStyle w:val="Paragraphevademecumformif"/>
        <w:spacing w:before="0" w:after="120" w:line="276" w:lineRule="auto"/>
        <w:rPr>
          <w:rFonts w:asciiTheme="minorHAnsi" w:hAnsiTheme="minorHAnsi" w:cstheme="minorHAnsi"/>
          <w:szCs w:val="20"/>
        </w:rPr>
      </w:pPr>
      <w:r>
        <w:rPr>
          <w:rFonts w:asciiTheme="minorHAnsi" w:hAnsiTheme="minorHAnsi" w:cstheme="minorHAnsi"/>
          <w:szCs w:val="20"/>
        </w:rPr>
        <w:t>Nous vous rappelons également, qu’outre la transmission des données au format informatique, il convient d’envoyer sous format numérique, pour chaque formation clôturée, un dossier composé des documents suivants :</w:t>
      </w:r>
    </w:p>
    <w:p>
      <w:pPr>
        <w:pStyle w:val="Paragraphevademecumformif"/>
        <w:numPr>
          <w:ilvl w:val="0"/>
          <w:numId w:val="85"/>
        </w:numPr>
        <w:tabs>
          <w:tab w:val="clear" w:pos="1440"/>
          <w:tab w:val="num" w:pos="720"/>
        </w:tabs>
        <w:spacing w:before="0" w:after="120" w:line="276" w:lineRule="auto"/>
        <w:ind w:left="714" w:hanging="357"/>
        <w:rPr>
          <w:rFonts w:asciiTheme="minorHAnsi" w:hAnsiTheme="minorHAnsi" w:cstheme="minorHAnsi"/>
          <w:szCs w:val="20"/>
        </w:rPr>
      </w:pPr>
      <w:r>
        <w:rPr>
          <w:rFonts w:asciiTheme="minorHAnsi" w:hAnsiTheme="minorHAnsi" w:cstheme="minorHAnsi"/>
          <w:szCs w:val="20"/>
        </w:rPr>
        <w:t xml:space="preserve">la copie du bordereau récapitulatif de la formation </w:t>
      </w:r>
      <w:r>
        <w:rPr>
          <w:rFonts w:asciiTheme="minorHAnsi" w:hAnsiTheme="minorHAnsi" w:cstheme="minorHAnsi"/>
          <w:bCs/>
          <w:szCs w:val="20"/>
        </w:rPr>
        <w:t>signé par le chef d’établissement ayant la gestion du CTA en charge ;</w:t>
      </w:r>
    </w:p>
    <w:p>
      <w:pPr>
        <w:pStyle w:val="Paragraphevademecumformif"/>
        <w:numPr>
          <w:ilvl w:val="0"/>
          <w:numId w:val="85"/>
        </w:numPr>
        <w:tabs>
          <w:tab w:val="clear" w:pos="1440"/>
          <w:tab w:val="num" w:pos="720"/>
        </w:tabs>
        <w:spacing w:before="0" w:after="120" w:line="276" w:lineRule="auto"/>
        <w:ind w:left="714" w:hanging="357"/>
        <w:rPr>
          <w:rFonts w:asciiTheme="minorHAnsi" w:hAnsiTheme="minorHAnsi" w:cstheme="minorHAnsi"/>
          <w:szCs w:val="20"/>
        </w:rPr>
      </w:pPr>
      <w:r>
        <w:rPr>
          <w:rFonts w:asciiTheme="minorHAnsi" w:hAnsiTheme="minorHAnsi" w:cstheme="minorHAnsi"/>
          <w:szCs w:val="20"/>
        </w:rPr>
        <w:t xml:space="preserve">les copies de toutes les listes de présences </w:t>
      </w:r>
      <w:r>
        <w:rPr>
          <w:rFonts w:asciiTheme="minorHAnsi" w:hAnsiTheme="minorHAnsi" w:cstheme="minorHAnsi"/>
          <w:bCs/>
          <w:szCs w:val="20"/>
        </w:rPr>
        <w:t>signées par les participants.</w:t>
      </w:r>
    </w:p>
    <w:p>
      <w:pPr>
        <w:pStyle w:val="Paragraphevademecumformif"/>
        <w:spacing w:before="0" w:after="120" w:line="276" w:lineRule="auto"/>
        <w:rPr>
          <w:rFonts w:asciiTheme="minorHAnsi" w:hAnsiTheme="minorHAnsi" w:cstheme="minorHAnsi"/>
          <w:szCs w:val="20"/>
        </w:rPr>
      </w:pPr>
      <w:r>
        <w:rPr>
          <w:rFonts w:asciiTheme="minorHAnsi" w:hAnsiTheme="minorHAnsi" w:cstheme="minorHAnsi"/>
          <w:szCs w:val="20"/>
        </w:rPr>
        <w:t>Pour toute question ou problème, n’hésitez surtout pas à prendre contact avec le service CTA de la Direction « Relations Ecoles-Monde du Travail ».</w:t>
      </w:r>
    </w:p>
    <w:p>
      <w:pPr>
        <w:pStyle w:val="Paragraphevademecumformif"/>
        <w:spacing w:before="0" w:after="120" w:line="276" w:lineRule="auto"/>
        <w:rPr>
          <w:rFonts w:asciiTheme="minorHAnsi" w:hAnsiTheme="minorHAnsi" w:cstheme="minorHAnsi"/>
          <w:szCs w:val="20"/>
        </w:rPr>
      </w:pPr>
      <w:r>
        <w:rPr>
          <w:rFonts w:asciiTheme="minorHAnsi" w:hAnsiTheme="minorHAnsi" w:cstheme="minorHAnsi"/>
          <w:szCs w:val="20"/>
        </w:rPr>
        <w:t>Bon travail d’encodage !</w:t>
      </w:r>
    </w:p>
    <w:p>
      <w:pPr>
        <w:spacing w:line="276" w:lineRule="auto"/>
        <w:rPr>
          <w:rFonts w:asciiTheme="minorHAnsi" w:hAnsiTheme="minorHAnsi" w:cstheme="minorHAnsi"/>
          <w:b/>
        </w:rPr>
      </w:pPr>
      <w:r>
        <w:rPr>
          <w:rFonts w:asciiTheme="minorHAnsi" w:hAnsiTheme="minorHAnsi" w:cstheme="minorHAnsi"/>
          <w:b/>
        </w:rPr>
        <w:br w:type="page"/>
      </w:r>
    </w:p>
    <w:p>
      <w:pPr>
        <w:pStyle w:val="Titre1"/>
        <w:keepNext w:val="0"/>
        <w:numPr>
          <w:ilvl w:val="0"/>
          <w:numId w:val="90"/>
        </w:numPr>
        <w:tabs>
          <w:tab w:val="clear" w:pos="720"/>
          <w:tab w:val="num" w:pos="426"/>
        </w:tabs>
        <w:spacing w:before="0" w:after="240" w:line="276" w:lineRule="auto"/>
        <w:ind w:left="425" w:hanging="357"/>
        <w:jc w:val="both"/>
        <w:rPr>
          <w:rFonts w:asciiTheme="minorHAnsi" w:hAnsiTheme="minorHAnsi" w:cstheme="minorHAnsi"/>
          <w:caps/>
          <w:sz w:val="28"/>
          <w:szCs w:val="28"/>
          <w:u w:val="single"/>
        </w:rPr>
      </w:pPr>
      <w:r>
        <w:rPr>
          <w:rFonts w:asciiTheme="minorHAnsi" w:hAnsiTheme="minorHAnsi" w:cstheme="minorHAnsi"/>
          <w:caps/>
          <w:sz w:val="28"/>
          <w:szCs w:val="28"/>
          <w:u w:val="single"/>
        </w:rPr>
        <w:lastRenderedPageBreak/>
        <w:t>Mise à jour ou activation des macros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 fichier d’encodage Excel contient des macros. Il est donc important que vous les mettiez à jour, dès que vous ouvrez votre formulaire d’encodage.</w:t>
      </w:r>
    </w:p>
    <w:p>
      <w:pPr>
        <w:spacing w:after="120" w:line="276" w:lineRule="auto"/>
        <w:jc w:val="center"/>
        <w:rPr>
          <w:rFonts w:asciiTheme="minorHAnsi" w:hAnsiTheme="minorHAnsi" w:cstheme="minorHAnsi"/>
          <w:szCs w:val="20"/>
        </w:rPr>
      </w:pPr>
      <w:r>
        <w:rPr>
          <w:noProof/>
          <w:lang w:eastAsia="fr-BE"/>
        </w:rPr>
        <mc:AlternateContent>
          <mc:Choice Requires="wps">
            <w:drawing>
              <wp:anchor distT="0" distB="0" distL="114300" distR="114300" simplePos="0" relativeHeight="251707392" behindDoc="0" locked="0" layoutInCell="1" allowOverlap="1">
                <wp:simplePos x="0" y="0"/>
                <wp:positionH relativeFrom="column">
                  <wp:posOffset>1409321</wp:posOffset>
                </wp:positionH>
                <wp:positionV relativeFrom="paragraph">
                  <wp:posOffset>586484</wp:posOffset>
                </wp:positionV>
                <wp:extent cx="1045028" cy="237507"/>
                <wp:effectExtent l="19050" t="19050" r="22225" b="10160"/>
                <wp:wrapNone/>
                <wp:docPr id="122" name="Ellipse 122"/>
                <wp:cNvGraphicFramePr/>
                <a:graphic xmlns:a="http://schemas.openxmlformats.org/drawingml/2006/main">
                  <a:graphicData uri="http://schemas.microsoft.com/office/word/2010/wordprocessingShape">
                    <wps:wsp>
                      <wps:cNvSpPr/>
                      <wps:spPr>
                        <a:xfrm>
                          <a:off x="0" y="0"/>
                          <a:ext cx="1045028" cy="237507"/>
                        </a:xfrm>
                        <a:prstGeom prst="ellipse">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122" o:spid="_x0000_s1026" style="position:absolute;margin-left:110.95pt;margin-top:46.2pt;width:82.3pt;height:18.7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HvcmwIAAJQFAAAOAAAAZHJzL2Uyb0RvYy54bWysVE1v2zAMvQ/YfxB0X/3RZN2MOkXQLsOA&#10;oi3WDj0rshQbkEVNUr7260dJtht0xQ7DcnAkkXzUeyJ5eXXoFdkJ6zrQNS3OckqE5tB0elPTH0+r&#10;D58ocZ7phinQoqZH4ejV4v27y72pRAktqEZYgiDaVXtT09Z7U2WZ463omTsDIzQaJdieedzaTdZY&#10;tkf0XmVlnn/M9mAbY4EL5/D0JhnpIuJLKbi/l9IJT1RN8W4+fm38rsM3W1yyamOZaTs+XIP9wy16&#10;1mlMOkHdMM/I1nZ/QPUdt+BA+jMOfQZSdlxEDsimyF+xeWyZEZELiuPMJJP7f7D8bvdgSdfg25Ul&#10;JZr1+EhflOqMEyQcoUB74yr0ezQPdtg5XAa2B2n78I88yCGKepxEFQdPOB4W+Wyel1gGHG3l+cU8&#10;vwig2Uu0sc5/FdCTsKipSNmjnGx363zyHr1CPg2rTik8Z5XSZF/T8wJxY4QD1TXBGozObtbXypId&#10;w+dfrXL8DblP3PAmSuOFAs1ELK78UYmU4LuQqBBSKVOGUJtigmWcC+2LZGpZI1K2+WmyMSLSVhoB&#10;A7LEW07YA8DomUBG7KTA4B9CRSztKXig/rfgKSJmBu2n4L7TYN9ippDVkDn5jyIlaYJKa2iOWD8W&#10;UmM5w1cdPuItc/6BWewk7DmcDv4eP1IBvhQMK0pasL/eOg/+WOBopWSPnVlT93PLrKBEfdNY+p+L&#10;2Sy0ctzM5hclbuypZX1q0dv+GvD1C5xDhsdl8PdqXEoL/TMOkWXIiiamOeauKfd23Fz7NDFwDHGx&#10;XEY3bF/D/K1+NDyAB1VDhT4dnpk1QyV77IE7GLuYVa+qOfmGSA3LrQfZxVJ/0XXQG1s/Fs4wpsJs&#10;Od1Hr5dhuvgNAAD//wMAUEsDBBQABgAIAAAAIQDYX+iZ3gAAAAoBAAAPAAAAZHJzL2Rvd25yZXYu&#10;eG1sTI9BTsMwEEX3SNzBGiQ2qHVqkioJcSqEhIAlhQO48TQ2xHYUu2l6e4YVLEf/6f83zW5xA5tx&#10;ijZ4CZt1Bgx9F7T1vYTPj+dVCSwm5bUagkcJF4ywa6+vGlXrcPbvOO9Tz6jEx1pJMCmNNeexM+hU&#10;XIcRPWXHMDmV6Jx6rid1pnI3cJFlW+6U9bRg1IhPBrvv/clJeC10afFi+VyM6e0rvuSmv8ulvL1Z&#10;Hh+AJVzSHwy/+qQOLTkdwsnryAYJQmwqQiVUIgdGwH25LYAdiBRVCbxt+P8X2h8AAAD//wMAUEsB&#10;Ai0AFAAGAAgAAAAhALaDOJL+AAAA4QEAABMAAAAAAAAAAAAAAAAAAAAAAFtDb250ZW50X1R5cGVz&#10;XS54bWxQSwECLQAUAAYACAAAACEAOP0h/9YAAACUAQAACwAAAAAAAAAAAAAAAAAvAQAAX3JlbHMv&#10;LnJlbHNQSwECLQAUAAYACAAAACEAifB73JsCAACUBQAADgAAAAAAAAAAAAAAAAAuAgAAZHJzL2Uy&#10;b0RvYy54bWxQSwECLQAUAAYACAAAACEA2F/omd4AAAAKAQAADwAAAAAAAAAAAAAAAAD1BAAAZHJz&#10;L2Rvd25yZXYueG1sUEsFBgAAAAAEAAQA8wAAAAAGAAAAAA==&#10;" filled="f" strokecolor="red" strokeweight="2.5pt"/>
            </w:pict>
          </mc:Fallback>
        </mc:AlternateContent>
      </w:r>
      <w:r>
        <w:rPr>
          <w:noProof/>
          <w:lang w:eastAsia="fr-BE"/>
        </w:rPr>
        <w:drawing>
          <wp:inline distT="0" distB="0" distL="0" distR="0">
            <wp:extent cx="5759450" cy="947420"/>
            <wp:effectExtent l="0" t="0" r="0" b="5080"/>
            <wp:docPr id="1006" name="Imag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59450" cy="947420"/>
                    </a:xfrm>
                    <a:prstGeom prst="rect">
                      <a:avLst/>
                    </a:prstGeom>
                  </pic:spPr>
                </pic:pic>
              </a:graphicData>
            </a:graphic>
          </wp:inline>
        </w:drawing>
      </w:r>
    </w:p>
    <w:p>
      <w:pPr>
        <w:spacing w:after="120" w:line="276" w:lineRule="auto"/>
        <w:rPr>
          <w:rFonts w:asciiTheme="minorHAnsi" w:hAnsiTheme="minorHAnsi" w:cstheme="minorHAnsi"/>
          <w:sz w:val="20"/>
          <w:szCs w:val="20"/>
        </w:rPr>
      </w:pPr>
      <w:r>
        <w:rPr>
          <w:rFonts w:asciiTheme="minorHAnsi" w:hAnsiTheme="minorHAnsi" w:cstheme="minorHAnsi"/>
          <w:sz w:val="20"/>
          <w:szCs w:val="20"/>
        </w:rPr>
        <w:t>Cette mise à jour peut également prendre la forme d’une demande d’activation des macros selon de type de suite Office que vous utilisez.</w:t>
      </w:r>
    </w:p>
    <w:p>
      <w:pPr>
        <w:pStyle w:val="Titre1"/>
        <w:numPr>
          <w:ilvl w:val="0"/>
          <w:numId w:val="90"/>
        </w:numPr>
        <w:spacing w:after="240" w:line="276" w:lineRule="auto"/>
        <w:ind w:left="357" w:hanging="357"/>
        <w:jc w:val="both"/>
        <w:rPr>
          <w:rFonts w:asciiTheme="minorHAnsi" w:hAnsiTheme="minorHAnsi" w:cstheme="minorHAnsi"/>
          <w:bCs w:val="0"/>
          <w:sz w:val="28"/>
          <w:szCs w:val="28"/>
          <w:u w:val="single"/>
        </w:rPr>
      </w:pPr>
      <w:r>
        <w:rPr>
          <w:rFonts w:asciiTheme="minorHAnsi" w:hAnsiTheme="minorHAnsi" w:cstheme="minorHAnsi"/>
          <w:sz w:val="28"/>
          <w:szCs w:val="28"/>
          <w:u w:val="single"/>
        </w:rPr>
        <w:t>MENU</w:t>
      </w:r>
    </w:p>
    <w:p>
      <w:pPr>
        <w:spacing w:after="120" w:line="276" w:lineRule="auto"/>
        <w:rPr>
          <w:rFonts w:asciiTheme="minorHAnsi" w:hAnsiTheme="minorHAnsi" w:cstheme="minorHAnsi"/>
          <w:sz w:val="20"/>
          <w:szCs w:val="20"/>
        </w:rPr>
      </w:pPr>
      <w:r>
        <w:rPr>
          <w:rFonts w:asciiTheme="minorHAnsi" w:hAnsiTheme="minorHAnsi" w:cstheme="minorHAnsi"/>
          <w:sz w:val="20"/>
          <w:szCs w:val="20"/>
        </w:rPr>
        <w:t>Cette feuille constitue la page d’accueil du formulaire de collecte des données relatives aux fréquentations des formations organisées dans votre centre.</w:t>
      </w:r>
    </w:p>
    <w:p>
      <w:pPr>
        <w:spacing w:after="120" w:line="276" w:lineRule="auto"/>
        <w:rPr>
          <w:rFonts w:asciiTheme="minorHAnsi" w:hAnsiTheme="minorHAnsi" w:cstheme="minorHAnsi"/>
          <w:sz w:val="20"/>
          <w:szCs w:val="20"/>
        </w:rPr>
      </w:pPr>
      <w:r>
        <w:rPr>
          <w:rFonts w:asciiTheme="minorHAnsi" w:hAnsiTheme="minorHAnsi" w:cstheme="minorHAnsi"/>
          <w:sz w:val="20"/>
          <w:szCs w:val="20"/>
        </w:rPr>
        <w:t>Elle vous permet d’avoir accès aux diverses feuilles composant le fichier Excel d’encodage grâce à des onglets :</w:t>
      </w:r>
    </w:p>
    <w:p>
      <w:pPr>
        <w:spacing w:after="120" w:line="276" w:lineRule="auto"/>
        <w:jc w:val="center"/>
        <w:rPr>
          <w:rFonts w:asciiTheme="minorHAnsi" w:hAnsiTheme="minorHAnsi" w:cstheme="minorHAnsi"/>
          <w:szCs w:val="20"/>
        </w:rPr>
      </w:pPr>
      <w:r>
        <w:rPr>
          <w:noProof/>
          <w:lang w:eastAsia="fr-BE"/>
        </w:rPr>
        <mc:AlternateContent>
          <mc:Choice Requires="wps">
            <w:drawing>
              <wp:anchor distT="0" distB="0" distL="114300" distR="114300" simplePos="0" relativeHeight="251697152" behindDoc="0" locked="0" layoutInCell="1" allowOverlap="1">
                <wp:simplePos x="0" y="0"/>
                <wp:positionH relativeFrom="column">
                  <wp:posOffset>3067202</wp:posOffset>
                </wp:positionH>
                <wp:positionV relativeFrom="paragraph">
                  <wp:posOffset>1479194</wp:posOffset>
                </wp:positionV>
                <wp:extent cx="357809" cy="294199"/>
                <wp:effectExtent l="0" t="0" r="0" b="0"/>
                <wp:wrapNone/>
                <wp:docPr id="1032" name="Zone de texte 1032"/>
                <wp:cNvGraphicFramePr/>
                <a:graphic xmlns:a="http://schemas.openxmlformats.org/drawingml/2006/main">
                  <a:graphicData uri="http://schemas.microsoft.com/office/word/2010/wordprocessingShape">
                    <wps:wsp>
                      <wps:cNvSpPr txBox="1"/>
                      <wps:spPr>
                        <a:xfrm>
                          <a:off x="0" y="0"/>
                          <a:ext cx="357809" cy="294199"/>
                        </a:xfrm>
                        <a:prstGeom prst="rect">
                          <a:avLst/>
                        </a:prstGeom>
                        <a:noFill/>
                        <a:ln w="6350">
                          <a:noFill/>
                        </a:ln>
                        <a:effectLst/>
                      </wps:spPr>
                      <wps:txb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32" o:spid="_x0000_s1034" type="#_x0000_t202" style="position:absolute;left:0;text-align:left;margin-left:241.5pt;margin-top:116.45pt;width:28.15pt;height:23.15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7/NPwIAAHAEAAAOAAAAZHJzL2Uyb0RvYy54bWysVE1v2zAMvQ/YfxB0X+x8tYkRp8haZBhQ&#10;tAXSosBuiiwlBiRRk5TY2a8fJecL3U7DLjJFUk/ie6Rnd61WZC+cr8GUtN/LKRGGQ1WbTUnfXpdf&#10;JpT4wEzFFBhR0oPw9G7++dOssYUYwBZUJRxBEOOLxpZ0G4ItsszzrdDM98AKg0EJTrOAW7fJKsca&#10;RNcqG+T5TdaAq6wDLrxH70MXpPOEL6Xg4VlKLwJRJcW3hbS6tK7jms1nrNg4Zrc1Pz6D/cMrNKsN&#10;XnqGemCBkZ2r/4DSNXfgQYYeB52BlDUXqQaspp9/qGa1ZVakWpAcb880+f8Hy5/2L47UFWqXDweU&#10;GKZRpR+oFakECaINgqQIEtVYX2D+yuKJ0H6FFg9FAqPfozPW30qn4xcrIxhHyg9nmhGMcHQOx7eT&#10;fEoJx9BgOupPpxEluxy2zodvAjSJRkkdqpjIZftHH7rUU0q8y8CyVgr9rFCGNCW9GY7zdOAcQXBl&#10;YoJIPXGEuTw8WqFdt4mJyamoNVQHrNVB1zbe8mWNL3pkPrwwh32C5WHvh2dcpAK8GY4WJVtwv/7m&#10;j/koH0YpabDvSup/7pgTlKjvBoWd9kej2KhpMxrfDnDjriPr64jZ6XvA1u7jlFmezJgf1MmUDvQ7&#10;jsgi3oohZjjeXdJwMu9DNw04YlwsFikJW9Oy8GhWlkfoyFvk+7V9Z84eRYmt8QSnDmXFB2263E6d&#10;xS6ArJNwkeeOVRQ8brCtk/THEYxzc71PWZcfxfw3AAAA//8DAFBLAwQUAAYACAAAACEAANQAAeMA&#10;AAALAQAADwAAAGRycy9kb3ducmV2LnhtbEyPzU7DMBCE70i8g7VI3KiDQyEJcaoqUoWE4NDSC7dN&#10;vE0i/BNitw08PeYEx9kZzX5Trmaj2YkmPzgr4XaRACPbOjXYTsL+bXOTAfMBrULtLEn4Ig+r6vKi&#10;xEK5s93SaRc6FkusL1BCH8JYcO7bngz6hRvJRu/gJoMhyqnjasJzLDeaiyS55wYHGz/0OFLdU/ux&#10;OxoJz/XmFbeNMNm3rp9eDuvxc/++lPL6al4/Ags0h78w/OJHdKgiU+OOVnmmJdxladwSJIhU5MBi&#10;YpnmKbAmXh5yAbwq+f8N1Q8AAAD//wMAUEsBAi0AFAAGAAgAAAAhALaDOJL+AAAA4QEAABMAAAAA&#10;AAAAAAAAAAAAAAAAAFtDb250ZW50X1R5cGVzXS54bWxQSwECLQAUAAYACAAAACEAOP0h/9YAAACU&#10;AQAACwAAAAAAAAAAAAAAAAAvAQAAX3JlbHMvLnJlbHNQSwECLQAUAAYACAAAACEAyye/zT8CAABw&#10;BAAADgAAAAAAAAAAAAAAAAAuAgAAZHJzL2Uyb0RvYy54bWxQSwECLQAUAAYACAAAACEAANQAAeMA&#10;AAALAQAADwAAAAAAAAAAAAAAAACZBAAAZHJzL2Rvd25yZXYueG1sUEsFBgAAAAAEAAQA8wAAAKkF&#10;AAAAAA==&#10;" filled="f" stroked="f" strokeweight=".5pt">
                <v:textbo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7</w:t>
                      </w:r>
                    </w:p>
                  </w:txbxContent>
                </v:textbox>
              </v:shape>
            </w:pict>
          </mc:Fallback>
        </mc:AlternateContent>
      </w:r>
      <w:r>
        <w:rPr>
          <w:noProof/>
          <w:lang w:eastAsia="fr-BE"/>
        </w:rPr>
        <mc:AlternateContent>
          <mc:Choice Requires="wps">
            <w:drawing>
              <wp:anchor distT="0" distB="0" distL="114300" distR="114300" simplePos="0" relativeHeight="251696128" behindDoc="0" locked="0" layoutInCell="1" allowOverlap="1">
                <wp:simplePos x="0" y="0"/>
                <wp:positionH relativeFrom="column">
                  <wp:posOffset>3157169</wp:posOffset>
                </wp:positionH>
                <wp:positionV relativeFrom="paragraph">
                  <wp:posOffset>1163574</wp:posOffset>
                </wp:positionV>
                <wp:extent cx="357505" cy="318052"/>
                <wp:effectExtent l="0" t="0" r="0" b="6350"/>
                <wp:wrapNone/>
                <wp:docPr id="1031" name="Zone de texte 1031"/>
                <wp:cNvGraphicFramePr/>
                <a:graphic xmlns:a="http://schemas.openxmlformats.org/drawingml/2006/main">
                  <a:graphicData uri="http://schemas.microsoft.com/office/word/2010/wordprocessingShape">
                    <wps:wsp>
                      <wps:cNvSpPr txBox="1"/>
                      <wps:spPr>
                        <a:xfrm>
                          <a:off x="0" y="0"/>
                          <a:ext cx="357505" cy="318052"/>
                        </a:xfrm>
                        <a:prstGeom prst="rect">
                          <a:avLst/>
                        </a:prstGeom>
                        <a:noFill/>
                        <a:ln w="6350">
                          <a:noFill/>
                        </a:ln>
                        <a:effectLst/>
                      </wps:spPr>
                      <wps:txb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31" o:spid="_x0000_s1035" type="#_x0000_t202" style="position:absolute;left:0;text-align:left;margin-left:248.6pt;margin-top:91.6pt;width:28.15pt;height:25.05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xEqPQIAAHAEAAAOAAAAZHJzL2Uyb0RvYy54bWysVNtu2zAMfR+wfxD0vti59WLEKbIWGQYU&#10;bYG0KLA3RZZiA5KoSUrs7OtHybmh29OwF5kiKYo858izu04rshPON2BKOhzklAjDoWrMpqRvr8sv&#10;N5T4wEzFFBhR0r3w9G7++dOstYUYQQ2qEo5gEeOL1pa0DsEWWeZ5LTTzA7DCYFCC0yzg1m2yyrEW&#10;q2uVjfL8KmvBVdYBF96j96EP0nmqL6Xg4VlKLwJRJcXeQlpdWtdxzeYzVmwcs3XDD22wf+hCs8bg&#10;padSDywwsnXNH6V0wx14kGHAQWcgZcNFmgGnGeYfplnVzIo0C4Lj7Qkm///K8qfdiyNNhdzl4yEl&#10;hmlk6QdyRSpBguiCICmCQLXWF5i/sngidF+hw0MRwOj36Izzd9Lp+MXJCMYR8v0JZixGODrH0+tp&#10;PqWEY2g8vMmno1glOx+2zodvAjSJRkkdspjAZbtHH/rUY0q8y8CyUQr9rFCGtCW9Gk/zdOAUweLK&#10;xASRNHEoc248WqFbdwmJ2+NQa6j2OKuDXjbe8mWDHT0yH16YQ53geKj98IyLVIA3w8GipAb362/+&#10;mI/0YZSSFnVXUv9zy5ygRH03SOztcDKJQk2byfR6hBt3GVlfRsxW3wNKG5nD7pIZ84M6mtKBfscn&#10;soi3YogZjneXNBzN+9C/BnxiXCwWKQmlaVl4NCvLY+mIW8T7tXtnzh5IidJ4gqNCWfGBmz63Z2ex&#10;DSCbRFzEuUcVCY8blHWi/vAE47u53Kes849i/hsAAP//AwBQSwMEFAAGAAgAAAAhAGKnJyDiAAAA&#10;CwEAAA8AAABkcnMvZG93bnJldi54bWxMj8tOwzAQRfdI/IM1SOyoQ0wghDhVFalCQnTR0g07J54m&#10;EX6E2G0DX8+wgt2M7tGdM+VytoadcAqDdxJuFwkwdK3Xg+sk7N/WNzmwEJXTyniHEr4wwLK6vChV&#10;of3ZbfG0ix2jEhcKJaGPcSw4D22PVoWFH9FRdvCTVZHWqeN6Umcqt4anSXLPrRocXejViHWP7cfu&#10;aCW81OuN2japzb9N/fx6WI2f+/dMyuurefUELOIc/2D41Sd1qMip8UenAzMS7h4fUkIpyAUNRGSZ&#10;yIA1ElIhBPCq5P9/qH4AAAD//wMAUEsBAi0AFAAGAAgAAAAhALaDOJL+AAAA4QEAABMAAAAAAAAA&#10;AAAAAAAAAAAAAFtDb250ZW50X1R5cGVzXS54bWxQSwECLQAUAAYACAAAACEAOP0h/9YAAACUAQAA&#10;CwAAAAAAAAAAAAAAAAAvAQAAX3JlbHMvLnJlbHNQSwECLQAUAAYACAAAACEAl/cRKj0CAABwBAAA&#10;DgAAAAAAAAAAAAAAAAAuAgAAZHJzL2Uyb0RvYy54bWxQSwECLQAUAAYACAAAACEAYqcnIOIAAAAL&#10;AQAADwAAAAAAAAAAAAAAAACXBAAAZHJzL2Rvd25yZXYueG1sUEsFBgAAAAAEAAQA8wAAAKYFAAAA&#10;AA==&#10;" filled="f" stroked="f" strokeweight=".5pt">
                <v:textbo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3</w:t>
                      </w:r>
                    </w:p>
                  </w:txbxContent>
                </v:textbox>
              </v:shape>
            </w:pict>
          </mc:Fallback>
        </mc:AlternateContent>
      </w:r>
      <w:r>
        <w:rPr>
          <w:noProof/>
          <w:lang w:eastAsia="fr-BE"/>
        </w:rPr>
        <mc:AlternateContent>
          <mc:Choice Requires="wps">
            <w:drawing>
              <wp:anchor distT="0" distB="0" distL="114300" distR="114300" simplePos="0" relativeHeight="251695104" behindDoc="0" locked="0" layoutInCell="1" allowOverlap="1">
                <wp:simplePos x="0" y="0"/>
                <wp:positionH relativeFrom="column">
                  <wp:posOffset>3153740</wp:posOffset>
                </wp:positionH>
                <wp:positionV relativeFrom="paragraph">
                  <wp:posOffset>889788</wp:posOffset>
                </wp:positionV>
                <wp:extent cx="357505" cy="286247"/>
                <wp:effectExtent l="0" t="0" r="0" b="0"/>
                <wp:wrapNone/>
                <wp:docPr id="1030" name="Zone de texte 1030"/>
                <wp:cNvGraphicFramePr/>
                <a:graphic xmlns:a="http://schemas.openxmlformats.org/drawingml/2006/main">
                  <a:graphicData uri="http://schemas.microsoft.com/office/word/2010/wordprocessingShape">
                    <wps:wsp>
                      <wps:cNvSpPr txBox="1"/>
                      <wps:spPr>
                        <a:xfrm>
                          <a:off x="0" y="0"/>
                          <a:ext cx="357505" cy="286247"/>
                        </a:xfrm>
                        <a:prstGeom prst="rect">
                          <a:avLst/>
                        </a:prstGeom>
                        <a:noFill/>
                        <a:ln w="6350">
                          <a:noFill/>
                        </a:ln>
                        <a:effectLst/>
                      </wps:spPr>
                      <wps:txb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30" o:spid="_x0000_s1036" type="#_x0000_t202" style="position:absolute;left:0;text-align:left;margin-left:248.35pt;margin-top:70.05pt;width:28.15pt;height:22.55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OcMPQIAAHEEAAAOAAAAZHJzL2Uyb0RvYy54bWysVE1v2zAMvQ/YfxB0X+x8d0acImuRYUDQ&#10;FkiHArspshQbsERNUmJnv36U7Hyg22nYRaZI6kl8j/TivlU1OQrrKtA5HQ5SSoTmUFR6n9Pvr+tP&#10;d5Q4z3TBatAipyfh6P3y44dFYzIxghLqQliCINpljclp6b3JksTxUijmBmCExqAEq5jHrd0nhWUN&#10;oqs6GaXpLGnAFsYCF86h97EL0mXEl1Jw/yylE57UOcW3+bjauO7CmiwXLNtbZsqK989g//AKxSqN&#10;l16gHpln5GCrP6BUxS04kH7AQSUgZcVFrAGrGabvqtmWzIhYC5LjzIUm9/9g+dPxxZKqQO3SMRKk&#10;mUKVfqBWpBDEi9YLEiNIVGNchvlbgyd8+wVaPBQIDH6HzlB/K60KX6yMYBwRTxeaEYxwdI6n82k6&#10;pYRjaHQ3G03mASW5HjbW+a8CFAlGTi2qGMllx43zXeo5JdylYV3VNfpZVmvS5HQ2nqbxwCWC4LUO&#10;CSL2RA9zfXiwfLtreybOVe2gOGGxFrq+cYavK3zShjn/wiw2CtaHze+fcZE14NXQW5SUYH/9zR/y&#10;UT+MUtJg4+XU/TwwKyipv2lU9vNwMgmdGjeT6XyEG3sb2d1G9EE9APb2EMfM8GiGfF+fTWlBveGM&#10;rMKtGGKa49059WfzwXfjgDPGxWoVk7A3DfMbvTU8QAfiAuGv7Ruzplcl9MYTnFuUZe/E6XI7eVYH&#10;D7KKygWiO1ZR8bDBvo7a9zMYBud2H7Ouf4rlbwAAAP//AwBQSwMEFAAGAAgAAAAhAMEt8M7iAAAA&#10;CwEAAA8AAABkcnMvZG93bnJldi54bWxMj8FOwzAQRO9I/IO1SNyo09CUEOJUVaQKCdFDSy/cnHib&#10;RMTrELtt4OtZTnDcmafZmXw12V6ccfSdIwXzWQQCqXamo0bB4W1zl4LwQZPRvSNU8IUeVsX1Va4z&#10;4y60w/M+NIJDyGdaQRvCkEnp6xat9jM3ILF3dKPVgc+xkWbUFw63vYyjaCmt7og/tHrAssX6Y3+y&#10;Cl7KzVbvqtim3335/HpcD5+H90Sp25tp/QQi4BT+YPitz9Wh4E6VO5HxoleweFw+MMrGIpqDYCJJ&#10;7nldxUqaxCCLXP7fUPwAAAD//wMAUEsBAi0AFAAGAAgAAAAhALaDOJL+AAAA4QEAABMAAAAAAAAA&#10;AAAAAAAAAAAAAFtDb250ZW50X1R5cGVzXS54bWxQSwECLQAUAAYACAAAACEAOP0h/9YAAACUAQAA&#10;CwAAAAAAAAAAAAAAAAAvAQAAX3JlbHMvLnJlbHNQSwECLQAUAAYACAAAACEAqtDnDD0CAABxBAAA&#10;DgAAAAAAAAAAAAAAAAAuAgAAZHJzL2Uyb0RvYy54bWxQSwECLQAUAAYACAAAACEAwS3wzuIAAAAL&#10;AQAADwAAAAAAAAAAAAAAAACXBAAAZHJzL2Rvd25yZXYueG1sUEsFBgAAAAAEAAQA8wAAAKYFAAAA&#10;AA==&#10;" filled="f" stroked="f" strokeweight=".5pt">
                <v:textbo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6</w:t>
                      </w:r>
                    </w:p>
                  </w:txbxContent>
                </v:textbox>
              </v:shape>
            </w:pict>
          </mc:Fallback>
        </mc:AlternateContent>
      </w:r>
      <w:r>
        <w:rPr>
          <w:noProof/>
          <w:lang w:eastAsia="fr-BE"/>
        </w:rPr>
        <mc:AlternateContent>
          <mc:Choice Requires="wps">
            <w:drawing>
              <wp:anchor distT="0" distB="0" distL="114300" distR="114300" simplePos="0" relativeHeight="251694080" behindDoc="0" locked="0" layoutInCell="1" allowOverlap="1">
                <wp:simplePos x="0" y="0"/>
                <wp:positionH relativeFrom="column">
                  <wp:posOffset>2971952</wp:posOffset>
                </wp:positionH>
                <wp:positionV relativeFrom="paragraph">
                  <wp:posOffset>588314</wp:posOffset>
                </wp:positionV>
                <wp:extent cx="357505" cy="318052"/>
                <wp:effectExtent l="0" t="0" r="0" b="6350"/>
                <wp:wrapNone/>
                <wp:docPr id="1029" name="Zone de texte 1029"/>
                <wp:cNvGraphicFramePr/>
                <a:graphic xmlns:a="http://schemas.openxmlformats.org/drawingml/2006/main">
                  <a:graphicData uri="http://schemas.microsoft.com/office/word/2010/wordprocessingShape">
                    <wps:wsp>
                      <wps:cNvSpPr txBox="1"/>
                      <wps:spPr>
                        <a:xfrm>
                          <a:off x="0" y="0"/>
                          <a:ext cx="357505" cy="318052"/>
                        </a:xfrm>
                        <a:prstGeom prst="rect">
                          <a:avLst/>
                        </a:prstGeom>
                        <a:noFill/>
                        <a:ln w="6350">
                          <a:noFill/>
                        </a:ln>
                        <a:effectLst/>
                      </wps:spPr>
                      <wps:txb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29" o:spid="_x0000_s1037" type="#_x0000_t202" style="position:absolute;left:0;text-align:left;margin-left:234pt;margin-top:46.3pt;width:28.15pt;height:25.05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yPQIAAHEEAAAOAAAAZHJzL2Uyb0RvYy54bWysVNtu2zAMfR+wfxD0vti59WLEKbIWGQYU&#10;bYG0KLA3RZZiA5KoSUrs7OtHybmh29OwF5kiqSPxHNKzu04rshPON2BKOhzklAjDoWrMpqRvr8sv&#10;N5T4wEzFFBhR0r3w9G7++dOstYUYQQ2qEo4giPFFa0tah2CLLPO8Fpr5AVhhMCjBaRZw6zZZ5ViL&#10;6Fplozy/ylpwlXXAhffofeiDdJ7wpRQ8PEvpRSCqpPi2kFaX1nVcs/mMFRvHbN3wwzPYP7xCs8bg&#10;pSeoBxYY2brmDyjdcAceZBhw0BlI2XCRasBqhvmHalY1syLVguR4e6LJ/z9Y/rR7caSpULt8dEuJ&#10;YRpV+oFakUqQILogSIogUa31BeavLJ4I3Vfo8FAkMPo9OmP9nXQ6frEygnGkfH+iGcEIR+d4ej3N&#10;p5RwDI2HN/l0FFGy82HrfPgmQJNolNShiolctnv0oU89psS7DCwbpdDPCmVIW9Kr8TRPB04RBFcm&#10;JojUEweY88OjFbp11zNxqmoN1R6LddD3jbd82eCTHpkPL8xho2B92PzhGRepAK+Gg0VJDe7X3/wx&#10;H/XDKCUtNl5J/c8tc4IS9d2gsrfDySR2atpMptcj3LjLyPoyYrb6HrC3hzhmlicz5gd1NKUD/Y4z&#10;soi3YogZjneXNBzN+9CPA84YF4tFSsLetCw8mpXlEToSFwl/7d6ZswdVYm88wbFFWfFBnD63l2ex&#10;DSCbpFwkumcVFY8b7Ouk/WEG4+Bc7lPW+U8x/w0AAP//AwBQSwMEFAAGAAgAAAAhADofyyPiAAAA&#10;CgEAAA8AAABkcnMvZG93bnJldi54bWxMj8tOwzAQRfdI/IM1SOyog0lDCHGqKlKFhGDR0g27STxN&#10;IvwIsdsGvh6zguVoju49t1zNRrMTTX5wVsLtIgFGtnVqsJ2E/dvmJgfmA1qF2lmS8EUeVtXlRYmF&#10;cme7pdMudCyGWF+ghD6EseDctz0Z9As3ko2/g5sMhnhOHVcTnmO40VwkScYNDjY29DhS3VP7sTsa&#10;Cc/15hW3jTD5t66fXg7r8XP/vpTy+mpePwILNIc/GH71ozpU0alxR6s80xLSLI9bgoQHkQGLwFKk&#10;d8CaSKbiHnhV8v8Tqh8AAAD//wMAUEsBAi0AFAAGAAgAAAAhALaDOJL+AAAA4QEAABMAAAAAAAAA&#10;AAAAAAAAAAAAAFtDb250ZW50X1R5cGVzXS54bWxQSwECLQAUAAYACAAAACEAOP0h/9YAAACUAQAA&#10;CwAAAAAAAAAAAAAAAAAvAQAAX3JlbHMvLnJlbHNQSwECLQAUAAYACAAAACEA//018j0CAABxBAAA&#10;DgAAAAAAAAAAAAAAAAAuAgAAZHJzL2Uyb0RvYy54bWxQSwECLQAUAAYACAAAACEAOh/LI+IAAAAK&#10;AQAADwAAAAAAAAAAAAAAAACXBAAAZHJzL2Rvd25yZXYueG1sUEsFBgAAAAAEAAQA8wAAAKYFAAAA&#10;AA==&#10;" filled="f" stroked="f" strokeweight=".5pt">
                <v:textbo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5</w:t>
                      </w:r>
                    </w:p>
                  </w:txbxContent>
                </v:textbox>
              </v:shape>
            </w:pict>
          </mc:Fallback>
        </mc:AlternateContent>
      </w:r>
      <w:r>
        <w:rPr>
          <w:noProof/>
          <w:lang w:eastAsia="fr-BE"/>
        </w:rPr>
        <mc:AlternateContent>
          <mc:Choice Requires="wps">
            <w:drawing>
              <wp:anchor distT="0" distB="0" distL="114300" distR="114300" simplePos="0" relativeHeight="251693056" behindDoc="0" locked="0" layoutInCell="1" allowOverlap="1">
                <wp:simplePos x="0" y="0"/>
                <wp:positionH relativeFrom="column">
                  <wp:posOffset>844779</wp:posOffset>
                </wp:positionH>
                <wp:positionV relativeFrom="paragraph">
                  <wp:posOffset>1484960</wp:posOffset>
                </wp:positionV>
                <wp:extent cx="357505" cy="294199"/>
                <wp:effectExtent l="0" t="0" r="0" b="0"/>
                <wp:wrapNone/>
                <wp:docPr id="1028" name="Zone de texte 1028"/>
                <wp:cNvGraphicFramePr/>
                <a:graphic xmlns:a="http://schemas.openxmlformats.org/drawingml/2006/main">
                  <a:graphicData uri="http://schemas.microsoft.com/office/word/2010/wordprocessingShape">
                    <wps:wsp>
                      <wps:cNvSpPr txBox="1"/>
                      <wps:spPr>
                        <a:xfrm>
                          <a:off x="0" y="0"/>
                          <a:ext cx="357505" cy="294199"/>
                        </a:xfrm>
                        <a:prstGeom prst="rect">
                          <a:avLst/>
                        </a:prstGeom>
                        <a:noFill/>
                        <a:ln w="6350">
                          <a:noFill/>
                        </a:ln>
                        <a:effectLst/>
                      </wps:spPr>
                      <wps:txb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28" o:spid="_x0000_s1038" type="#_x0000_t202" style="position:absolute;left:0;text-align:left;margin-left:66.5pt;margin-top:116.95pt;width:28.15pt;height:23.1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eEuPgIAAHEEAAAOAAAAZHJzL2Uyb0RvYy54bWysVE1v2zAMvQ/YfxB0X+y4SbsYcYqsRYYB&#10;QVsgHQrspshSYkASNUmJnf36UXK+0O007CJTJPUkvkd6et9pRfbC+QZMRYeDnBJhONSN2VT0++vi&#10;02dKfGCmZgqMqOhBeHo/+/hh2tpSFLAFVQtHEMT4srUV3YZgyyzzfCs08wOwwmBQgtMs4NZtstqx&#10;FtG1yoo8v81acLV1wIX36H3sg3SW8KUUPDxL6UUgqqL4tpBWl9Z1XLPZlJUbx+y24cdnsH94hWaN&#10;wUvPUI8sMLJzzR9QuuEOPMgw4KAzkLLhItWA1Qzzd9WstsyKVAuS4+2ZJv//YPnT/sWRpkbt8gK1&#10;MkyjSj9QK1ILEkQXBEkRJKq1vsT8lcUTofsCHR6KBEa/R2esv5NOxy9WRjCOlB/ONCMY4ei8Gd+N&#10;8zElHEPFZDScTCJKdjlsnQ9fBWgSjYo6VDGRy/ZLH/rUU0q8y8CiUQr9rFSGtBW9vRnn6cA5guDK&#10;xASReuIIc3l4tEK37nomilNVa6gPWKyDvm+85YsGn7RkPrwwh42C9WHzh2dcpAK8Go4WJVtwv/7m&#10;j/moH0YpabHxKup/7pgTlKhvBpWdDEej2KlpMxrfFbhx15H1dcTs9ANgbw9xzCxPZswP6mRKB/oN&#10;Z2Qeb8UQMxzvrmg4mQ+hHwecMS7m85SEvWlZWJqV5RE6EhcJf+3emLNHVWJvPMGpRVn5Tpw+t5dn&#10;vgsgm6RcJLpnFRWPG+zrpP1xBuPgXO9T1uVPMfsNAAD//wMAUEsDBBQABgAIAAAAIQA8H+7Q4QAA&#10;AAsBAAAPAAAAZHJzL2Rvd25yZXYueG1sTI/BTsMwEETvSPyDtUjcqEMsUBriVFWkCgnBoaUXbpvY&#10;TSLidYjdNvD1bE9wnNnR7JtiNbtBnOwUek8a7hcJCEuNNz21Gvbvm7sMRIhIBgdPVsO3DbAqr68K&#10;zI0/09aedrEVXEIhRw1djGMuZWg66zAs/GiJbwc/OYwsp1aaCc9c7gaZJsmjdNgTf+hwtFVnm8/d&#10;0Wl4qTZvuK1Tl/0M1fPrYT1+7T8etL69mddPIKKd418YLviMDiUz1f5IJoiBtVK8JWpIlVqCuCSy&#10;pQJRs5MlKciykP83lL8AAAD//wMAUEsBAi0AFAAGAAgAAAAhALaDOJL+AAAA4QEAABMAAAAAAAAA&#10;AAAAAAAAAAAAAFtDb250ZW50X1R5cGVzXS54bWxQSwECLQAUAAYACAAAACEAOP0h/9YAAACUAQAA&#10;CwAAAAAAAAAAAAAAAAAvAQAAX3JlbHMvLnJlbHNQSwECLQAUAAYACAAAACEA+AXhLj4CAABxBAAA&#10;DgAAAAAAAAAAAAAAAAAuAgAAZHJzL2Uyb0RvYy54bWxQSwECLQAUAAYACAAAACEAPB/u0OEAAAAL&#10;AQAADwAAAAAAAAAAAAAAAACYBAAAZHJzL2Rvd25yZXYueG1sUEsFBgAAAAAEAAQA8wAAAKYFAAAA&#10;AA==&#10;" filled="f" stroked="f" strokeweight=".5pt">
                <v:textbo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4</w:t>
                      </w:r>
                    </w:p>
                  </w:txbxContent>
                </v:textbox>
              </v:shape>
            </w:pict>
          </mc:Fallback>
        </mc:AlternateContent>
      </w:r>
      <w:r>
        <w:rPr>
          <w:noProof/>
          <w:lang w:eastAsia="fr-BE"/>
        </w:rPr>
        <mc:AlternateContent>
          <mc:Choice Requires="wps">
            <w:drawing>
              <wp:anchor distT="0" distB="0" distL="114300" distR="114300" simplePos="0" relativeHeight="251692032" behindDoc="0" locked="0" layoutInCell="1" allowOverlap="1">
                <wp:simplePos x="0" y="0"/>
                <wp:positionH relativeFrom="column">
                  <wp:posOffset>577392</wp:posOffset>
                </wp:positionH>
                <wp:positionV relativeFrom="paragraph">
                  <wp:posOffset>1169009</wp:posOffset>
                </wp:positionV>
                <wp:extent cx="357505" cy="318053"/>
                <wp:effectExtent l="0" t="0" r="0" b="6350"/>
                <wp:wrapNone/>
                <wp:docPr id="1027" name="Zone de texte 1027"/>
                <wp:cNvGraphicFramePr/>
                <a:graphic xmlns:a="http://schemas.openxmlformats.org/drawingml/2006/main">
                  <a:graphicData uri="http://schemas.microsoft.com/office/word/2010/wordprocessingShape">
                    <wps:wsp>
                      <wps:cNvSpPr txBox="1"/>
                      <wps:spPr>
                        <a:xfrm>
                          <a:off x="0" y="0"/>
                          <a:ext cx="357505" cy="318053"/>
                        </a:xfrm>
                        <a:prstGeom prst="rect">
                          <a:avLst/>
                        </a:prstGeom>
                        <a:noFill/>
                        <a:ln w="6350">
                          <a:noFill/>
                        </a:ln>
                        <a:effectLst/>
                      </wps:spPr>
                      <wps:txb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27" o:spid="_x0000_s1039" type="#_x0000_t202" style="position:absolute;left:0;text-align:left;margin-left:45.45pt;margin-top:92.05pt;width:28.15pt;height:25.05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T1BPAIAAHEEAAAOAAAAZHJzL2Uyb0RvYy54bWysVEtv2zAMvg/YfxB0X+y82s6IU2QtMgwI&#10;2gLpUGA3RZZiA5KoSUrs7NePkvNCt9Owi8yXKJLfR8/uO63IXjjfgCnpcJBTIgyHqjHbkn5/XX66&#10;o8QHZiqmwIiSHoSn9/OPH2atLcQIalCVcASTGF+0tqR1CLbIMs9roZkfgBUGnRKcZgFVt80qx1rM&#10;rlU2yvObrAVXWQdceI/Wx95J5ym/lIKHZym9CESVFGsL6XTp3MQzm89YsXXM1g0/lsH+oQrNGoOP&#10;nlM9ssDIzjV/pNINd+BBhgEHnYGUDRepB+xmmL/rZl0zK1IvOBxvz2Py/y8tf9q/ONJUiF0+uqXE&#10;MI0o/UCsSCVIEF0QJHlwUK31BcavLd4I3Rfo8FIcYLR7NMb+O+l0/GJnBP048sN5zJiMcDSOp7fT&#10;fEoJR9d4eJdPxzFLdrlsnQ9fBWgShZI6RDENl+1XPvShp5D4loFloxTaWaEMaUt6M57m6cLZg8mV&#10;iQEiceKY5lJ4lEK36fpJpHqiaQPVAZt10PPGW75ssKQV8+GFOSQK9ofkD894SAX4NBwlSmpwv/5m&#10;j/GIH3opaZF4JfU/d8wJStQ3g8h+Hk4mkalJmUxvR6i4a8/m2mN2+gGQ20NcM8uTGOODOonSgX7D&#10;HVnEV9HFDMe3SxpO4kPo1wF3jIvFIgUhNy0LK7O2PKaOg4sDf+3emLNHVCI3nuBEUVa8A6eP7eFZ&#10;7ALIJiF3mSoiHhXkdcL+uINxca71FHX5U8x/AwAA//8DAFBLAwQUAAYACAAAACEAhZuc8eEAAAAK&#10;AQAADwAAAGRycy9kb3ducmV2LnhtbEyPwU7DMAyG70i8Q2QkbixdKNCVptNUaUJC7LCxC7e08dqK&#10;xClNthWenuwER9uffn9/sZysYSccfe9IwnyWAENqnO6plbB/X99lwHxQpJVxhBK+0cOyvL4qVK7d&#10;mbZ42oWWxRDyuZLQhTDknPumQ6v8zA1I8XZwo1UhjmPL9ajOMdwaLpLkkVvVU/zQqQGrDpvP3dFK&#10;eK3WG7Wthc1+TPXydlgNX/uPBylvb6bVM7CAU/iD4aIf1aGMTrU7kvbMSFgki0jGfZbOgV2A9EkA&#10;qyWI+1QALwv+v0L5CwAA//8DAFBLAQItABQABgAIAAAAIQC2gziS/gAAAOEBAAATAAAAAAAAAAAA&#10;AAAAAAAAAABbQ29udGVudF9UeXBlc10ueG1sUEsBAi0AFAAGAAgAAAAhADj9If/WAAAAlAEAAAsA&#10;AAAAAAAAAAAAAAAALwEAAF9yZWxzLy5yZWxzUEsBAi0AFAAGAAgAAAAhADuVPUE8AgAAcQQAAA4A&#10;AAAAAAAAAAAAAAAALgIAAGRycy9lMm9Eb2MueG1sUEsBAi0AFAAGAAgAAAAhAIWbnPHhAAAACgEA&#10;AA8AAAAAAAAAAAAAAAAAlgQAAGRycy9kb3ducmV2LnhtbFBLBQYAAAAABAAEAPMAAACkBQAAAAA=&#10;" filled="f" stroked="f" strokeweight=".5pt">
                <v:textbo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3</w:t>
                      </w:r>
                    </w:p>
                  </w:txbxContent>
                </v:textbox>
              </v:shape>
            </w:pict>
          </mc:Fallback>
        </mc:AlternateContent>
      </w:r>
      <w:r>
        <w:rPr>
          <w:noProof/>
          <w:lang w:eastAsia="fr-BE"/>
        </w:rPr>
        <mc:AlternateContent>
          <mc:Choice Requires="wps">
            <w:drawing>
              <wp:anchor distT="0" distB="0" distL="114300" distR="114300" simplePos="0" relativeHeight="251691008" behindDoc="0" locked="0" layoutInCell="1" allowOverlap="1">
                <wp:simplePos x="0" y="0"/>
                <wp:positionH relativeFrom="column">
                  <wp:posOffset>580035</wp:posOffset>
                </wp:positionH>
                <wp:positionV relativeFrom="paragraph">
                  <wp:posOffset>890549</wp:posOffset>
                </wp:positionV>
                <wp:extent cx="357505" cy="293702"/>
                <wp:effectExtent l="0" t="0" r="0" b="0"/>
                <wp:wrapNone/>
                <wp:docPr id="1026" name="Zone de texte 1026"/>
                <wp:cNvGraphicFramePr/>
                <a:graphic xmlns:a="http://schemas.openxmlformats.org/drawingml/2006/main">
                  <a:graphicData uri="http://schemas.microsoft.com/office/word/2010/wordprocessingShape">
                    <wps:wsp>
                      <wps:cNvSpPr txBox="1"/>
                      <wps:spPr>
                        <a:xfrm>
                          <a:off x="0" y="0"/>
                          <a:ext cx="357505" cy="293702"/>
                        </a:xfrm>
                        <a:prstGeom prst="rect">
                          <a:avLst/>
                        </a:prstGeom>
                        <a:noFill/>
                        <a:ln w="6350">
                          <a:noFill/>
                        </a:ln>
                        <a:effectLst/>
                      </wps:spPr>
                      <wps:txb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26" o:spid="_x0000_s1040" type="#_x0000_t202" style="position:absolute;left:0;text-align:left;margin-left:45.65pt;margin-top:70.1pt;width:28.15pt;height:23.15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vasPgIAAHEEAAAOAAAAZHJzL2Uyb0RvYy54bWysVE1v2zAMvQ/YfxB0X+w4X6sRp8haZBgQ&#10;tAXSocBuiizFBixRk5TY2a8fJecL3U7DLjJFUk/ie6Tn951qyEFYV4Mu6HCQUiI0h7LWu4J+f119&#10;+kyJ80yXrAEtCnoUjt4vPn6YtyYXGVTQlMISBNEub01BK+9NniSOV0IxNwAjNAYlWMU8bu0uKS1r&#10;EV01SZam06QFWxoLXDiH3sc+SBcRX0rB/bOUTnjSFBTf5uNq47oNa7KYs3xnmalqfnoG+4dXKFZr&#10;vPQC9cg8I3tb/wGlam7BgfQDDioBKWsuYg1YzTB9V82mYkbEWpAcZy40uf8Hy58OL5bUJWqXZlNK&#10;NFOo0g/UipSCeNF5QWIEiWqNyzF/Y/CE775Ah4cCgcHv0Bnq76RV4YuVEYwj5ccLzQhGODpHk9kk&#10;nVDCMZTdjWZpFlCS62Fjnf8qQJFgFNSiipFcdlg736eeU8JdGlZ106Cf5Y0mbUGno0kaD1wiCN7o&#10;kCBiT5xgrg8Plu+2Xc/E+FzVFsojFmuh7xtn+KrGJ62Z8y/MYqNgfdj8/hkX2QBeDSeLkgrsr7/5&#10;Qz7qh1FKWmy8grqfe2YFJc03jcreDcfj0KlxM57MMtzY28j2NqL36gGwt4c4ZoZHM+T75mxKC+oN&#10;Z2QZbsUQ0xzvLqg/mw++HwecMS6Wy5iEvWmYX+uN4QE6EBcIf+3emDUnVUJvPMG5RVn+Tpw+t5dn&#10;ufcg66hcILpnFRUPG+zrqP1pBsPg3O5j1vVPsfgNAAD//wMAUEsDBBQABgAIAAAAIQD/5TQ34QAA&#10;AAoBAAAPAAAAZHJzL2Rvd25yZXYueG1sTI9NT4NAEIbvJv6HzZh4s0uxRUSWpiFpTIweWnvxNrBT&#10;ILKzyG5b9Ne7PeltPp6880y+mkwvTjS6zrKC+SwCQVxb3XGjYP++uUtBOI+ssbdMCr7Jwaq4vsox&#10;0/bMWzrtfCNCCLsMFbTeD5mUrm7JoJvZgTjsDnY06EM7NlKPeA7hppdxFCXSYMfhQosDlS3Vn7uj&#10;UfBSbt5wW8Um/enL59fDevjafyyVur2Z1k8gPE3+D4aLflCHIjhV9sjaiV7B4/w+kGG+iGIQF2Dx&#10;kICoQpEmS5BFLv+/UPwCAAD//wMAUEsBAi0AFAAGAAgAAAAhALaDOJL+AAAA4QEAABMAAAAAAAAA&#10;AAAAAAAAAAAAAFtDb250ZW50X1R5cGVzXS54bWxQSwECLQAUAAYACAAAACEAOP0h/9YAAACUAQAA&#10;CwAAAAAAAAAAAAAAAAAvAQAAX3JlbHMvLnJlbHNQSwECLQAUAAYACAAAACEAvI72rD4CAABxBAAA&#10;DgAAAAAAAAAAAAAAAAAuAgAAZHJzL2Uyb0RvYy54bWxQSwECLQAUAAYACAAAACEA/+U0N+EAAAAK&#10;AQAADwAAAAAAAAAAAAAAAACYBAAAZHJzL2Rvd25yZXYueG1sUEsFBgAAAAAEAAQA8wAAAKYFAAAA&#10;AA==&#10;" filled="f" stroked="f" strokeweight=".5pt">
                <v:textbo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3</w:t>
                      </w:r>
                    </w:p>
                  </w:txbxContent>
                </v:textbox>
              </v:shape>
            </w:pict>
          </mc:Fallback>
        </mc:AlternateContent>
      </w:r>
      <w:r>
        <w:rPr>
          <w:noProof/>
          <w:lang w:eastAsia="fr-BE"/>
        </w:rPr>
        <mc:AlternateContent>
          <mc:Choice Requires="wps">
            <w:drawing>
              <wp:anchor distT="0" distB="0" distL="114300" distR="114300" simplePos="0" relativeHeight="251689984" behindDoc="0" locked="0" layoutInCell="1" allowOverlap="1">
                <wp:simplePos x="0" y="0"/>
                <wp:positionH relativeFrom="column">
                  <wp:posOffset>686969</wp:posOffset>
                </wp:positionH>
                <wp:positionV relativeFrom="paragraph">
                  <wp:posOffset>589559</wp:posOffset>
                </wp:positionV>
                <wp:extent cx="357505" cy="301598"/>
                <wp:effectExtent l="0" t="0" r="0" b="3810"/>
                <wp:wrapNone/>
                <wp:docPr id="1025" name="Zone de texte 1025"/>
                <wp:cNvGraphicFramePr/>
                <a:graphic xmlns:a="http://schemas.openxmlformats.org/drawingml/2006/main">
                  <a:graphicData uri="http://schemas.microsoft.com/office/word/2010/wordprocessingShape">
                    <wps:wsp>
                      <wps:cNvSpPr txBox="1"/>
                      <wps:spPr>
                        <a:xfrm>
                          <a:off x="0" y="0"/>
                          <a:ext cx="357505" cy="301598"/>
                        </a:xfrm>
                        <a:prstGeom prst="rect">
                          <a:avLst/>
                        </a:prstGeom>
                        <a:noFill/>
                        <a:ln w="6350">
                          <a:noFill/>
                        </a:ln>
                        <a:effectLst/>
                      </wps:spPr>
                      <wps:txb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1025" o:spid="_x0000_s1041" type="#_x0000_t202" style="position:absolute;left:0;text-align:left;margin-left:54.1pt;margin-top:46.4pt;width:28.15pt;height:23.75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rVjPQIAAHEEAAAOAAAAZHJzL2Uyb0RvYy54bWysVMlu2zAQvRfoPxC815IXZREsB24CFwWC&#10;JIATBOiNpkhbAMlhSdqS+/UdUt6Q9lT0Qs3GGc57M5redVqRnXC+AVPR4SCnRBgOdWPWFX17XXy5&#10;ocQHZmqmwIiK7oWnd7PPn6atLcUINqBq4QgmMb5sbUU3IdgyyzzfCM38AKww6JTgNAuounVWO9Zi&#10;dq2yUZ5fZS242jrgwnu0PvROOkv5pRQ8PEvpRSCqovi2kE6XzlU8s9mUlWvH7Kbhh2ewf3iFZo3B&#10;oqdUDywwsnXNH6l0wx14kGHAQWcgZcNF6gG7GeYfullumBWpFwTH2xNM/v+l5U+7F0eaGrnLRwUl&#10;hmlk6QdyRWpBguiCIMmDQLXWlxi/tHgjdF+hw0sRwGj3aIz9d9Lp+MXOCPoR8v0JZkxGOBrHxXWR&#10;Yy2OrnE+LG5vYpbsfNk6H74J0CQKFXXIYgKX7R596EOPIbGWgUWjFNpZqQxpK3o1LvJ04eTB5MrE&#10;AJFm4pDm/PAohW7V9UgUx65WUO+xWQf93HjLFw0+6ZH58MIcDgr2h8MfnvGQCrA0HCRKNuB+/c0e&#10;45E/9FLS4uBV1P/cMicoUd8NMns7nEzipCZlUlyPUHGXntWlx2z1PeBsD3HNLE9ijA/qKEoH+h13&#10;ZB6roosZjrUrGo7ifejXAXeMi/k8BeFsWhYezdLymDoCFwF/7d6ZswdW4mw8wXFEWfmBnD62p2e+&#10;DSCbxFwEukcVGY8KznXi/rCDcXEu9RR1/lPMfgMAAP//AwBQSwMEFAAGAAgAAAAhAKqi5VzgAAAA&#10;CgEAAA8AAABkcnMvZG93bnJldi54bWxMjz1PwzAQhnck/oN1SGzUJrRVCHGqKlKFhGBo6cJ2id0k&#10;Ij6H2G0Dv57rBNu9ukfvR76aXC9OdgydJw33MwXCUu1NR42G/fvmLgURIpLB3pPV8G0DrIrrqxwz&#10;48+0taddbASbUMhQQxvjkEkZ6tY6DDM/WOLfwY8OI8uxkWbEM5u7XiZKLaXDjjihxcGWra0/d0en&#10;4aXcvOG2Slz605fPr4f18LX/WGh9ezOtn0BEO8U/GC71uToU3KnyRzJB9KxVmjCq4THhCRdgOV+A&#10;qPiYqweQRS7/Tyh+AQAA//8DAFBLAQItABQABgAIAAAAIQC2gziS/gAAAOEBAAATAAAAAAAAAAAA&#10;AAAAAAAAAABbQ29udGVudF9UeXBlc10ueG1sUEsBAi0AFAAGAAgAAAAhADj9If/WAAAAlAEAAAsA&#10;AAAAAAAAAAAAAAAALwEAAF9yZWxzLy5yZWxzUEsBAi0AFAAGAAgAAAAhAJrutWM9AgAAcQQAAA4A&#10;AAAAAAAAAAAAAAAALgIAAGRycy9lMm9Eb2MueG1sUEsBAi0AFAAGAAgAAAAhAKqi5VzgAAAACgEA&#10;AA8AAAAAAAAAAAAAAAAAlwQAAGRycy9kb3ducmV2LnhtbFBLBQYAAAAABAAEAPMAAACkBQAAAAA=&#10;" filled="f" stroked="f" strokeweight=".5pt">
                <v:textbo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2</w:t>
                      </w:r>
                    </w:p>
                  </w:txbxContent>
                </v:textbox>
              </v:shape>
            </w:pict>
          </mc:Fallback>
        </mc:AlternateContent>
      </w:r>
      <w:r>
        <w:rPr>
          <w:noProof/>
          <w:lang w:eastAsia="fr-BE"/>
        </w:rPr>
        <mc:AlternateContent>
          <mc:Choice Requires="wps">
            <w:drawing>
              <wp:anchor distT="0" distB="0" distL="114300" distR="114300" simplePos="0" relativeHeight="251688960" behindDoc="0" locked="0" layoutInCell="1" allowOverlap="1">
                <wp:simplePos x="0" y="0"/>
                <wp:positionH relativeFrom="column">
                  <wp:posOffset>2368982</wp:posOffset>
                </wp:positionH>
                <wp:positionV relativeFrom="paragraph">
                  <wp:posOffset>310946</wp:posOffset>
                </wp:positionV>
                <wp:extent cx="357809" cy="254442"/>
                <wp:effectExtent l="0" t="0" r="0" b="0"/>
                <wp:wrapNone/>
                <wp:docPr id="1024" name="Zone de texte 1024"/>
                <wp:cNvGraphicFramePr/>
                <a:graphic xmlns:a="http://schemas.openxmlformats.org/drawingml/2006/main">
                  <a:graphicData uri="http://schemas.microsoft.com/office/word/2010/wordprocessingShape">
                    <wps:wsp>
                      <wps:cNvSpPr txBox="1"/>
                      <wps:spPr>
                        <a:xfrm>
                          <a:off x="0" y="0"/>
                          <a:ext cx="357809" cy="2544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Zone de texte 1024" o:spid="_x0000_s1042" type="#_x0000_t202" style="position:absolute;left:0;text-align:left;margin-left:186.55pt;margin-top:24.5pt;width:28.15pt;height:20.05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QwhwIAAHQFAAAOAAAAZHJzL2Uyb0RvYy54bWysVFtP2zAUfp+0/2D5fSQtKZeIFHUgpkkI&#10;0GBC2pvr2DSa7ePZbpPy63fsJG3F9sK0l8Q+5zufz/3istOKbITzDZiKTo5ySoThUDfmpaLfn24+&#10;nVHiAzM1U2BERbfC08v5xw8XrS3FFFagauEIkhhftraiqxBsmWWer4Rm/gisMKiU4DQLeHUvWe1Y&#10;i+xaZdM8P8lacLV1wIX3KL3ulXSe+KUUPNxL6UUgqqLoW0hfl77L+M3mF6x8ccyuGj64wf7BC80a&#10;g4/uqK5ZYGTtmj+odMMdeJDhiIPOQMqGixQDRjPJ30TzuGJWpFgwOd7u0uT/Hy2/2zw40tRYu3xa&#10;UGKYxir9wFqRWpAguiBI0mCiWutLxD9atAjdZ+jQKCYwyj0KY/yddDr+MTKCekz5dpdmJCMchcez&#10;07P8nBKOqumsKIppZMn2xtb58EWAJvFQUYdVTMllm1sfeugIiW8ZuGmUQjkrlSFtRU+OZ3ky2GmQ&#10;XJkIEKknBpq94+kUtkr0JN+ExJwk/6MgdaO4Uo5sGPYR41yYkEJPvIiOKIlOvMdwwO+9eo9xH8f4&#10;MpiwM9aNAZeif+N2/XN0WfZ4zPlB3PEYumXXN8PJWNgl1Fust4N+dLzlNw1W5Zb58MAczgqWGOc/&#10;3ONHKsDsw3CiZAXu9W/yiMcWRi0lLc5eRf2vNXOCEvXVYHOfT4oiDmu6FLPTKV7coWZ5qDFrfQVY&#10;lgluGsvTMeKDGo/SgX7GNbGIr6KKGY5vVzSMx6vQbwRcM1wsFgmE42lZuDWPlkfqWKXYc0/dM3N2&#10;aMw4HncwTikr3/Rnj42WBhbrALJJzRsT3Wd1KACOdmr/YQ3F3XF4T6j9spz/BgAA//8DAFBLAwQU&#10;AAYACAAAACEAwxE4zeEAAAAJAQAADwAAAGRycy9kb3ducmV2LnhtbEyPTU+DQBRF9yb+h8kzcWcH&#10;KCogj6YhaUyMXbR2425gpkCcD2SmLfrrfa50+fJO7j23XM1Gs7Oa/OAsQryIgCnbOjnYDuHwtrnL&#10;gPkgrBTaWYXwpTysquurUhTSXexOnfehYxRifSEQ+hDGgnPf9soIv3CjsvQ7usmIQOfUcTmJC4Ub&#10;zZMoeuBGDJYaejGqulftx/5kEF7qzVbsmsRk37p+fj2ux8/D+z3i7c28fgIW1Bz+YPjVJ3WoyKlx&#10;Jys90wjLx2VMKEKa0yYC0iRPgTUIWR4Dr0r+f0H1AwAA//8DAFBLAQItABQABgAIAAAAIQC2gziS&#10;/gAAAOEBAAATAAAAAAAAAAAAAAAAAAAAAABbQ29udGVudF9UeXBlc10ueG1sUEsBAi0AFAAGAAgA&#10;AAAhADj9If/WAAAAlAEAAAsAAAAAAAAAAAAAAAAALwEAAF9yZWxzLy5yZWxzUEsBAi0AFAAGAAgA&#10;AAAhAD4ZdDCHAgAAdAUAAA4AAAAAAAAAAAAAAAAALgIAAGRycy9lMm9Eb2MueG1sUEsBAi0AFAAG&#10;AAgAAAAhAMMROM3hAAAACQEAAA8AAAAAAAAAAAAAAAAA4QQAAGRycy9kb3ducmV2LnhtbFBLBQYA&#10;AAAABAAEAPMAAADvBQAAAAA=&#10;" filled="f" stroked="f" strokeweight=".5pt">
                <v:textbox>
                  <w:txbxContent>
                    <w:p>
                      <w:pPr>
                        <w:rPr>
                          <w:rFonts w:asciiTheme="minorHAnsi" w:hAnsiTheme="minorHAnsi" w:cstheme="minorHAnsi"/>
                          <w:b/>
                          <w:color w:val="FF0000"/>
                          <w:sz w:val="28"/>
                          <w:szCs w:val="28"/>
                        </w:rPr>
                      </w:pPr>
                      <w:r>
                        <w:rPr>
                          <w:rFonts w:asciiTheme="minorHAnsi" w:hAnsiTheme="minorHAnsi" w:cstheme="minorHAnsi"/>
                          <w:b/>
                          <w:color w:val="FF0000"/>
                          <w:sz w:val="28"/>
                          <w:szCs w:val="28"/>
                        </w:rPr>
                        <w:t>1</w:t>
                      </w:r>
                    </w:p>
                  </w:txbxContent>
                </v:textbox>
              </v:shape>
            </w:pict>
          </mc:Fallback>
        </mc:AlternateContent>
      </w:r>
      <w:r>
        <w:rPr>
          <w:noProof/>
          <w:lang w:eastAsia="fr-BE"/>
        </w:rPr>
        <w:drawing>
          <wp:inline distT="0" distB="0" distL="0" distR="0">
            <wp:extent cx="4586400" cy="1825200"/>
            <wp:effectExtent l="19050" t="19050" r="24130" b="22860"/>
            <wp:docPr id="1022" name="Imag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586400" cy="1825200"/>
                    </a:xfrm>
                    <a:prstGeom prst="rect">
                      <a:avLst/>
                    </a:prstGeom>
                    <a:ln>
                      <a:solidFill>
                        <a:srgbClr val="000000"/>
                      </a:solidFill>
                    </a:ln>
                  </pic:spPr>
                </pic:pic>
              </a:graphicData>
            </a:graphic>
          </wp:inline>
        </w:drawing>
      </w:r>
    </w:p>
    <w:p>
      <w:pPr>
        <w:pStyle w:val="Paragraphedeliste"/>
        <w:numPr>
          <w:ilvl w:val="0"/>
          <w:numId w:val="86"/>
        </w:numPr>
        <w:spacing w:after="120" w:line="276" w:lineRule="auto"/>
        <w:ind w:left="714" w:hanging="357"/>
        <w:jc w:val="both"/>
        <w:rPr>
          <w:rFonts w:asciiTheme="minorHAnsi" w:hAnsiTheme="minorHAnsi" w:cstheme="minorHAnsi"/>
          <w:sz w:val="20"/>
          <w:szCs w:val="20"/>
        </w:rPr>
      </w:pPr>
      <w:r>
        <w:rPr>
          <w:rFonts w:asciiTheme="minorHAnsi" w:hAnsiTheme="minorHAnsi" w:cstheme="minorHAnsi"/>
          <w:sz w:val="20"/>
          <w:szCs w:val="20"/>
        </w:rPr>
        <w:t>L’onglet « FICHE » vous renvoie au fichier d’encodage proprement dit ;</w:t>
      </w:r>
    </w:p>
    <w:p>
      <w:pPr>
        <w:pStyle w:val="Paragraphedeliste"/>
        <w:numPr>
          <w:ilvl w:val="0"/>
          <w:numId w:val="86"/>
        </w:numPr>
        <w:spacing w:after="120" w:line="276" w:lineRule="auto"/>
        <w:ind w:left="714" w:hanging="357"/>
        <w:jc w:val="both"/>
        <w:rPr>
          <w:rFonts w:asciiTheme="minorHAnsi" w:hAnsiTheme="minorHAnsi" w:cstheme="minorHAnsi"/>
          <w:sz w:val="20"/>
          <w:szCs w:val="20"/>
        </w:rPr>
      </w:pPr>
      <w:r>
        <w:rPr>
          <w:rFonts w:asciiTheme="minorHAnsi" w:hAnsiTheme="minorHAnsi" w:cstheme="minorHAnsi"/>
          <w:sz w:val="20"/>
          <w:szCs w:val="20"/>
        </w:rPr>
        <w:t>L’onglet « LISTE DE PRESENCES » vous renvoie à la liste de présences à faire signer par les participants ;</w:t>
      </w:r>
    </w:p>
    <w:p>
      <w:pPr>
        <w:pStyle w:val="Paragraphedeliste"/>
        <w:numPr>
          <w:ilvl w:val="0"/>
          <w:numId w:val="86"/>
        </w:numPr>
        <w:spacing w:after="120" w:line="276" w:lineRule="auto"/>
        <w:ind w:left="714" w:hanging="357"/>
        <w:jc w:val="both"/>
        <w:rPr>
          <w:rFonts w:asciiTheme="minorHAnsi" w:hAnsiTheme="minorHAnsi" w:cstheme="minorHAnsi"/>
          <w:sz w:val="20"/>
          <w:szCs w:val="20"/>
        </w:rPr>
      </w:pPr>
      <w:r>
        <w:rPr>
          <w:rFonts w:asciiTheme="minorHAnsi" w:hAnsiTheme="minorHAnsi" w:cstheme="minorHAnsi"/>
          <w:sz w:val="20"/>
          <w:szCs w:val="20"/>
        </w:rPr>
        <w:t>Les onglets « DECLARATION DE CREANCE », « DECLARATION VOITURE » et « DECLARATION CAR » vous renvoient aux divers documents de demande de remboursement de frais de déplacement et/ou d’hébergement ;</w:t>
      </w:r>
    </w:p>
    <w:p>
      <w:pPr>
        <w:pStyle w:val="Paragraphedeliste"/>
        <w:numPr>
          <w:ilvl w:val="0"/>
          <w:numId w:val="86"/>
        </w:numPr>
        <w:spacing w:after="120" w:line="276" w:lineRule="auto"/>
        <w:ind w:left="714" w:hanging="357"/>
        <w:jc w:val="both"/>
        <w:rPr>
          <w:rFonts w:asciiTheme="minorHAnsi" w:hAnsiTheme="minorHAnsi" w:cstheme="minorHAnsi"/>
          <w:sz w:val="20"/>
          <w:szCs w:val="20"/>
        </w:rPr>
      </w:pPr>
      <w:r>
        <w:rPr>
          <w:rFonts w:asciiTheme="minorHAnsi" w:hAnsiTheme="minorHAnsi" w:cstheme="minorHAnsi"/>
          <w:sz w:val="20"/>
          <w:szCs w:val="20"/>
        </w:rPr>
        <w:t>L’onglet « CONVENTION » vous renvoie à la convention spécifique à la formation encodée ;</w:t>
      </w:r>
    </w:p>
    <w:p>
      <w:pPr>
        <w:pStyle w:val="Paragraphedeliste"/>
        <w:numPr>
          <w:ilvl w:val="0"/>
          <w:numId w:val="86"/>
        </w:numPr>
        <w:spacing w:after="120" w:line="276" w:lineRule="auto"/>
        <w:ind w:left="714" w:hanging="357"/>
        <w:jc w:val="both"/>
        <w:rPr>
          <w:rFonts w:asciiTheme="minorHAnsi" w:hAnsiTheme="minorHAnsi" w:cstheme="minorHAnsi"/>
          <w:sz w:val="20"/>
          <w:szCs w:val="20"/>
        </w:rPr>
      </w:pPr>
      <w:r>
        <w:rPr>
          <w:rFonts w:asciiTheme="minorHAnsi" w:hAnsiTheme="minorHAnsi" w:cstheme="minorHAnsi"/>
          <w:sz w:val="20"/>
          <w:szCs w:val="20"/>
        </w:rPr>
        <w:t>L’onglet « BORDEREAU RECAPITULATIF » vous renvoie au document à faire signer par le chef d’établissement ;</w:t>
      </w:r>
    </w:p>
    <w:p>
      <w:pPr>
        <w:pStyle w:val="Paragraphedeliste"/>
        <w:numPr>
          <w:ilvl w:val="0"/>
          <w:numId w:val="86"/>
        </w:numPr>
        <w:spacing w:after="120" w:line="276" w:lineRule="auto"/>
        <w:ind w:left="714" w:hanging="357"/>
        <w:jc w:val="both"/>
        <w:rPr>
          <w:rFonts w:asciiTheme="minorHAnsi" w:hAnsiTheme="minorHAnsi" w:cstheme="minorHAnsi"/>
          <w:sz w:val="20"/>
          <w:szCs w:val="20"/>
        </w:rPr>
      </w:pPr>
      <w:r>
        <w:rPr>
          <w:rFonts w:asciiTheme="minorHAnsi" w:hAnsiTheme="minorHAnsi" w:cstheme="minorHAnsi"/>
          <w:sz w:val="20"/>
          <w:szCs w:val="20"/>
        </w:rPr>
        <w:t>L’onglet « ATTESTATION DE » renvoie aux attestations de fréquentation à délivrer aux apprenants ;</w:t>
      </w:r>
    </w:p>
    <w:p>
      <w:pPr>
        <w:pStyle w:val="Paragraphedeliste"/>
        <w:numPr>
          <w:ilvl w:val="0"/>
          <w:numId w:val="86"/>
        </w:numPr>
        <w:spacing w:line="276" w:lineRule="auto"/>
        <w:ind w:left="714" w:hanging="357"/>
        <w:jc w:val="both"/>
        <w:rPr>
          <w:rFonts w:asciiTheme="minorHAnsi" w:hAnsiTheme="minorHAnsi" w:cstheme="minorHAnsi"/>
          <w:sz w:val="20"/>
          <w:szCs w:val="20"/>
        </w:rPr>
      </w:pPr>
      <w:r>
        <w:rPr>
          <w:rFonts w:asciiTheme="minorHAnsi" w:hAnsiTheme="minorHAnsi" w:cstheme="minorHAnsi"/>
          <w:sz w:val="20"/>
          <w:szCs w:val="20"/>
        </w:rPr>
        <w:t>L’onglet « LISTE ETABLISSEMENTS » renvoie à la liste de l’ensemble des établissements scolaires.</w:t>
      </w:r>
    </w:p>
    <w:p>
      <w:pPr>
        <w:spacing w:line="276" w:lineRule="auto"/>
        <w:rPr>
          <w:rFonts w:asciiTheme="minorHAnsi" w:hAnsiTheme="minorHAnsi" w:cstheme="minorHAnsi"/>
          <w:b/>
          <w:bCs/>
          <w:caps/>
          <w:kern w:val="32"/>
        </w:rPr>
      </w:pPr>
      <w:r>
        <w:rPr>
          <w:rFonts w:asciiTheme="minorHAnsi" w:hAnsiTheme="minorHAnsi" w:cstheme="minorHAnsi"/>
          <w:bCs/>
        </w:rPr>
        <w:br w:type="page"/>
      </w:r>
    </w:p>
    <w:p>
      <w:pPr>
        <w:pStyle w:val="Titre1"/>
        <w:numPr>
          <w:ilvl w:val="0"/>
          <w:numId w:val="90"/>
        </w:numPr>
        <w:spacing w:after="240" w:line="276" w:lineRule="auto"/>
        <w:ind w:left="357" w:hanging="357"/>
        <w:jc w:val="both"/>
        <w:rPr>
          <w:rFonts w:asciiTheme="minorHAnsi" w:hAnsiTheme="minorHAnsi" w:cstheme="minorHAnsi"/>
          <w:caps/>
          <w:sz w:val="28"/>
          <w:szCs w:val="28"/>
          <w:u w:val="single"/>
        </w:rPr>
      </w:pPr>
      <w:r>
        <w:rPr>
          <w:rFonts w:asciiTheme="minorHAnsi" w:hAnsiTheme="minorHAnsi" w:cstheme="minorHAnsi"/>
          <w:caps/>
          <w:sz w:val="28"/>
          <w:szCs w:val="28"/>
          <w:u w:val="single"/>
        </w:rPr>
        <w:lastRenderedPageBreak/>
        <w:t>Encodage des formations</w:t>
      </w:r>
    </w:p>
    <w:p>
      <w:pPr>
        <w:pStyle w:val="Paragraphedeliste"/>
        <w:numPr>
          <w:ilvl w:val="1"/>
          <w:numId w:val="90"/>
        </w:numPr>
        <w:tabs>
          <w:tab w:val="left" w:pos="426"/>
        </w:tabs>
        <w:spacing w:before="240" w:after="240" w:line="276" w:lineRule="auto"/>
        <w:ind w:left="284" w:hanging="284"/>
        <w:jc w:val="both"/>
        <w:rPr>
          <w:rFonts w:asciiTheme="minorHAnsi" w:hAnsiTheme="minorHAnsi" w:cstheme="minorHAnsi"/>
          <w:b/>
        </w:rPr>
      </w:pPr>
      <w:r>
        <w:rPr>
          <w:rFonts w:asciiTheme="minorHAnsi" w:hAnsiTheme="minorHAnsi" w:cstheme="minorHAnsi"/>
          <w:b/>
        </w:rPr>
        <w:t>Remarques préliminaires</w:t>
      </w:r>
    </w:p>
    <w:p>
      <w:pPr>
        <w:spacing w:after="120" w:line="276" w:lineRule="auto"/>
        <w:rPr>
          <w:rFonts w:asciiTheme="minorHAnsi" w:hAnsiTheme="minorHAnsi" w:cstheme="minorHAnsi"/>
          <w:sz w:val="20"/>
          <w:szCs w:val="20"/>
        </w:rPr>
      </w:pPr>
      <w:r>
        <w:rPr>
          <w:rFonts w:asciiTheme="minorHAnsi" w:hAnsiTheme="minorHAnsi" w:cstheme="minorHAnsi"/>
          <w:sz w:val="20"/>
          <w:szCs w:val="20"/>
        </w:rPr>
        <w:t>Tout d’abord, vous constaterez que certaines zones du formulaire sont assorties de couleurs :</w:t>
      </w:r>
    </w:p>
    <w:p>
      <w:pPr>
        <w:pStyle w:val="Paragraphevademecumformif"/>
        <w:numPr>
          <w:ilvl w:val="0"/>
          <w:numId w:val="85"/>
        </w:numPr>
        <w:tabs>
          <w:tab w:val="clear" w:pos="1440"/>
          <w:tab w:val="num" w:pos="720"/>
        </w:tabs>
        <w:spacing w:before="0" w:after="120" w:line="276" w:lineRule="auto"/>
        <w:ind w:left="714" w:hanging="357"/>
        <w:rPr>
          <w:rFonts w:asciiTheme="minorHAnsi" w:hAnsiTheme="minorHAnsi" w:cstheme="minorHAnsi"/>
          <w:szCs w:val="20"/>
        </w:rPr>
      </w:pPr>
      <w:r>
        <w:rPr>
          <w:rFonts w:asciiTheme="minorHAnsi" w:hAnsiTheme="minorHAnsi" w:cstheme="minorHAnsi"/>
          <w:szCs w:val="20"/>
        </w:rPr>
        <w:t>Les zones en jaune doivent obligatoirement être encodées, que ce soit manuellement ou à l’aide des menus déroulants. Le fait de compléter ces zones permet d’accéder aux cellules suivantes. En cas de non remplissage, le formulaire reste bloqué et de couleur noire.</w:t>
      </w:r>
    </w:p>
    <w:p>
      <w:pPr>
        <w:pStyle w:val="Paragraphevademecumformif"/>
        <w:numPr>
          <w:ilvl w:val="0"/>
          <w:numId w:val="85"/>
        </w:numPr>
        <w:tabs>
          <w:tab w:val="clear" w:pos="1440"/>
          <w:tab w:val="num" w:pos="720"/>
        </w:tabs>
        <w:spacing w:before="0" w:after="120" w:line="276" w:lineRule="auto"/>
        <w:ind w:left="714" w:hanging="357"/>
        <w:rPr>
          <w:rFonts w:asciiTheme="minorHAnsi" w:hAnsiTheme="minorHAnsi" w:cstheme="minorHAnsi"/>
          <w:szCs w:val="20"/>
        </w:rPr>
      </w:pPr>
      <w:r>
        <w:rPr>
          <w:rFonts w:asciiTheme="minorHAnsi" w:hAnsiTheme="minorHAnsi" w:cstheme="minorHAnsi"/>
          <w:szCs w:val="20"/>
        </w:rPr>
        <w:t>Les zones en blanc constituent les informations qui s’injectent automatiquement dans le formulaire et qui ne nécessitent pas d’encodage</w:t>
      </w:r>
    </w:p>
    <w:p>
      <w:pPr>
        <w:spacing w:after="120" w:line="276" w:lineRule="auto"/>
        <w:rPr>
          <w:rFonts w:asciiTheme="minorHAnsi" w:hAnsiTheme="minorHAnsi" w:cstheme="minorHAnsi"/>
          <w:sz w:val="20"/>
          <w:szCs w:val="20"/>
        </w:rPr>
      </w:pPr>
      <w:r>
        <w:rPr>
          <w:rFonts w:asciiTheme="minorHAnsi" w:hAnsiTheme="minorHAnsi" w:cstheme="minorHAnsi"/>
          <w:sz w:val="20"/>
          <w:szCs w:val="20"/>
        </w:rPr>
        <w:t>Sur chaque page du document, un bouton « menu » vous permet de rejoindre à tout moment la page d’accueil du formulaire :</w:t>
      </w:r>
    </w:p>
    <w:p>
      <w:pPr>
        <w:spacing w:line="276" w:lineRule="auto"/>
        <w:jc w:val="center"/>
        <w:rPr>
          <w:rFonts w:asciiTheme="minorHAnsi" w:hAnsiTheme="minorHAnsi" w:cstheme="minorHAnsi"/>
          <w:szCs w:val="20"/>
        </w:rPr>
      </w:pPr>
      <w:r>
        <w:rPr>
          <w:noProof/>
          <w:lang w:eastAsia="fr-BE"/>
        </w:rPr>
        <w:drawing>
          <wp:inline distT="0" distB="0" distL="0" distR="0">
            <wp:extent cx="990600" cy="361950"/>
            <wp:effectExtent l="0" t="0" r="0" b="0"/>
            <wp:docPr id="1007" name="Imag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990600" cy="361950"/>
                    </a:xfrm>
                    <a:prstGeom prst="rect">
                      <a:avLst/>
                    </a:prstGeom>
                  </pic:spPr>
                </pic:pic>
              </a:graphicData>
            </a:graphic>
          </wp:inline>
        </w:drawing>
      </w:r>
    </w:p>
    <w:p>
      <w:pPr>
        <w:pStyle w:val="Paragraphedeliste"/>
        <w:numPr>
          <w:ilvl w:val="1"/>
          <w:numId w:val="90"/>
        </w:numPr>
        <w:tabs>
          <w:tab w:val="left" w:pos="426"/>
        </w:tabs>
        <w:spacing w:before="240" w:after="240" w:line="276" w:lineRule="auto"/>
        <w:ind w:left="284" w:hanging="284"/>
        <w:jc w:val="both"/>
        <w:rPr>
          <w:rFonts w:asciiTheme="minorHAnsi" w:hAnsiTheme="minorHAnsi" w:cstheme="minorHAnsi"/>
          <w:b/>
        </w:rPr>
      </w:pPr>
      <w:r>
        <w:rPr>
          <w:rFonts w:asciiTheme="minorHAnsi" w:hAnsiTheme="minorHAnsi" w:cstheme="minorHAnsi"/>
          <w:b/>
        </w:rPr>
        <w:t>Public-cible</w:t>
      </w:r>
    </w:p>
    <w:p>
      <w:pPr>
        <w:spacing w:after="120" w:line="276" w:lineRule="auto"/>
        <w:rPr>
          <w:rFonts w:asciiTheme="minorHAnsi" w:hAnsiTheme="minorHAnsi" w:cstheme="minorHAnsi"/>
          <w:sz w:val="20"/>
          <w:szCs w:val="20"/>
        </w:rPr>
      </w:pPr>
      <w:r>
        <w:rPr>
          <w:noProof/>
          <w:sz w:val="20"/>
          <w:szCs w:val="20"/>
          <w:lang w:eastAsia="fr-BE"/>
        </w:rPr>
        <mc:AlternateContent>
          <mc:Choice Requires="wps">
            <w:drawing>
              <wp:anchor distT="0" distB="0" distL="114300" distR="114300" simplePos="0" relativeHeight="251698176" behindDoc="0" locked="0" layoutInCell="1" allowOverlap="1">
                <wp:simplePos x="0" y="0"/>
                <wp:positionH relativeFrom="column">
                  <wp:posOffset>3761120</wp:posOffset>
                </wp:positionH>
                <wp:positionV relativeFrom="paragraph">
                  <wp:posOffset>164135</wp:posOffset>
                </wp:positionV>
                <wp:extent cx="1210797" cy="421574"/>
                <wp:effectExtent l="0" t="19050" r="27940" b="74295"/>
                <wp:wrapNone/>
                <wp:docPr id="123" name="Connecteur droit avec flèche 6"/>
                <wp:cNvGraphicFramePr/>
                <a:graphic xmlns:a="http://schemas.openxmlformats.org/drawingml/2006/main">
                  <a:graphicData uri="http://schemas.microsoft.com/office/word/2010/wordprocessingShape">
                    <wps:wsp>
                      <wps:cNvCnPr/>
                      <wps:spPr>
                        <a:xfrm>
                          <a:off x="0" y="0"/>
                          <a:ext cx="1210797" cy="421574"/>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6" o:spid="_x0000_s1026" type="#_x0000_t32" style="position:absolute;margin-left:296.15pt;margin-top:12.9pt;width:95.35pt;height:33.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kigBAIAAEoEAAAOAAAAZHJzL2Uyb0RvYy54bWysVNuO0zAQfUfiHyy/0yRlu4Wq6T50KS8I&#10;qgU+wHXGiSXHtsbeXv6I/+DHGDtplpuQQOTBsTNzZs6cGWd9d+4NOwIG7WzNq1nJGVjpGm3bmn/+&#10;tHvxirMQhW2EcRZqfoHA7zbPn61PfgVz1znTADIKYsPq5GvexehXRRFkB70IM+fBklE57EWkI7ZF&#10;g+JE0XtTzMvytjg5bDw6CSHQ1/vByDc5vlIg4welAkRmak7cYl4xr4e0Fpu1WLUofKflSEP8A4te&#10;aEtJp1D3Igr2iPqXUL2W6IJTcSZdXziltIRcA1VTlT9V87ETHnItJE7wk0zh/4WV7497ZLqh3s1f&#10;cmZFT03aOmtJOXhE1qDTkYkjSKbM1y/UFnabRDv5sCLs1u5xPAW/x6TAWWGf3lQbO2ehL5PQcI5M&#10;0sdqXpXL10vOJNlu5tVieZOCFk9ojyG+BdeztKl5iCh028WRmcMqqy2O70IcgFdASm0sO9V8sawW&#10;ZXYLzuhmp41JxoDtYWuQHQWNxG5X0jPm/sEtCm3e2IbFiydFImphWwOjp7FENkkwFJ138WJgSP4A&#10;ihRNZQ7Z0yzDlFJICTZWUyTyTjBF9CbgSPtPwNE/QSHP+d+AJ0TO7GycwL22Dn9HO56vlNXgf1Vg&#10;qDtJcHDNJY9DloYGNnd0vFzpRnx/zvCnX8DmGwAAAP//AwBQSwMEFAAGAAgAAAAhABcgwjnfAAAA&#10;CQEAAA8AAABkcnMvZG93bnJldi54bWxMj0FLw0AQhe+C/2EZwYvYjVtSm5hJKVIF6ck04HWaXZNg&#10;djdkt238944nPQ7zeO/7is1sB3E2U+i9Q3hYJCCMa7zuXYtQH17u1yBCJKdp8M4gfJsAm/L6qqBc&#10;+4t7N+cqtoJLXMgJoYtxzKUMTWcshYUfjePfp58sRT6nVuqJLlxuB6mSZCUt9Y4XOhrNc2ear+pk&#10;EejwOiXVR73fv9n6bpeusu2uyRBvb+btE4ho5vgXhl98RoeSmY7+5HQQA0KaqSVHEVTKChx4XC9Z&#10;7oiQKQWyLOR/g/IHAAD//wMAUEsBAi0AFAAGAAgAAAAhALaDOJL+AAAA4QEAABMAAAAAAAAAAAAA&#10;AAAAAAAAAFtDb250ZW50X1R5cGVzXS54bWxQSwECLQAUAAYACAAAACEAOP0h/9YAAACUAQAACwAA&#10;AAAAAAAAAAAAAAAvAQAAX3JlbHMvLnJlbHNQSwECLQAUAAYACAAAACEAya5IoAQCAABKBAAADgAA&#10;AAAAAAAAAAAAAAAuAgAAZHJzL2Uyb0RvYy54bWxQSwECLQAUAAYACAAAACEAFyDCOd8AAAAJAQAA&#10;DwAAAAAAAAAAAAAAAABeBAAAZHJzL2Rvd25yZXYueG1sUEsFBgAAAAAEAAQA8wAAAGoFAAAAAA==&#10;" strokecolor="red" strokeweight="4.5pt">
                <v:stroke endarrow="block"/>
              </v:shape>
            </w:pict>
          </mc:Fallback>
        </mc:AlternateContent>
      </w:r>
      <w:r>
        <w:rPr>
          <w:rFonts w:asciiTheme="minorHAnsi" w:hAnsiTheme="minorHAnsi" w:cstheme="minorHAnsi"/>
          <w:sz w:val="20"/>
          <w:szCs w:val="20"/>
        </w:rPr>
        <w:t>Avant toute chose, vous devez choisir un public-cible au moyen du menu déroulant :</w:t>
      </w:r>
    </w:p>
    <w:p>
      <w:pPr>
        <w:spacing w:after="120" w:line="276" w:lineRule="auto"/>
        <w:jc w:val="center"/>
        <w:rPr>
          <w:rFonts w:asciiTheme="minorHAnsi" w:hAnsiTheme="minorHAnsi" w:cstheme="minorHAnsi"/>
          <w:szCs w:val="20"/>
        </w:rPr>
      </w:pPr>
      <w:r>
        <w:rPr>
          <w:noProof/>
          <w:lang w:eastAsia="fr-BE"/>
        </w:rPr>
        <w:drawing>
          <wp:inline distT="0" distB="0" distL="0" distR="0">
            <wp:extent cx="4950550" cy="900100"/>
            <wp:effectExtent l="19050" t="19050" r="21590" b="14605"/>
            <wp:docPr id="10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70"/>
                    <a:stretch>
                      <a:fillRect/>
                    </a:stretch>
                  </pic:blipFill>
                  <pic:spPr>
                    <a:xfrm>
                      <a:off x="0" y="0"/>
                      <a:ext cx="4950550" cy="900100"/>
                    </a:xfrm>
                    <a:prstGeom prst="rect">
                      <a:avLst/>
                    </a:prstGeom>
                    <a:ln>
                      <a:solidFill>
                        <a:schemeClr val="tx1"/>
                      </a:solidFill>
                    </a:ln>
                  </pic:spPr>
                </pic:pic>
              </a:graphicData>
            </a:graphic>
          </wp:inline>
        </w:drawing>
      </w:r>
    </w:p>
    <w:p>
      <w:pPr>
        <w:spacing w:after="120" w:line="276" w:lineRule="auto"/>
        <w:rPr>
          <w:rFonts w:asciiTheme="minorHAnsi" w:hAnsiTheme="minorHAnsi" w:cstheme="minorHAnsi"/>
          <w:sz w:val="20"/>
          <w:szCs w:val="20"/>
        </w:rPr>
      </w:pPr>
      <w:r>
        <w:rPr>
          <w:rFonts w:asciiTheme="minorHAnsi" w:hAnsiTheme="minorHAnsi" w:cstheme="minorHAnsi"/>
          <w:sz w:val="20"/>
          <w:szCs w:val="20"/>
        </w:rPr>
        <w:t>Les types de publics-cibles sont les suivants :</w:t>
      </w:r>
    </w:p>
    <w:p>
      <w:pPr>
        <w:pStyle w:val="Paragraphevademecumformif"/>
        <w:numPr>
          <w:ilvl w:val="0"/>
          <w:numId w:val="85"/>
        </w:numPr>
        <w:tabs>
          <w:tab w:val="clear" w:pos="1440"/>
          <w:tab w:val="num" w:pos="720"/>
        </w:tabs>
        <w:spacing w:before="0" w:after="0" w:line="276" w:lineRule="auto"/>
        <w:ind w:left="714" w:hanging="357"/>
        <w:rPr>
          <w:rFonts w:asciiTheme="minorHAnsi" w:hAnsiTheme="minorHAnsi" w:cstheme="minorHAnsi"/>
          <w:szCs w:val="20"/>
        </w:rPr>
      </w:pPr>
      <w:r>
        <w:rPr>
          <w:rFonts w:asciiTheme="minorHAnsi" w:hAnsiTheme="minorHAnsi" w:cstheme="minorHAnsi"/>
          <w:szCs w:val="20"/>
        </w:rPr>
        <w:t>Demandeurs d’emploi</w:t>
      </w:r>
    </w:p>
    <w:p>
      <w:pPr>
        <w:pStyle w:val="Paragraphevademecumformif"/>
        <w:numPr>
          <w:ilvl w:val="0"/>
          <w:numId w:val="85"/>
        </w:numPr>
        <w:tabs>
          <w:tab w:val="clear" w:pos="1440"/>
          <w:tab w:val="num" w:pos="720"/>
        </w:tabs>
        <w:spacing w:before="0" w:after="0" w:line="276" w:lineRule="auto"/>
        <w:ind w:left="714" w:hanging="357"/>
        <w:rPr>
          <w:rFonts w:asciiTheme="minorHAnsi" w:hAnsiTheme="minorHAnsi" w:cstheme="minorHAnsi"/>
          <w:szCs w:val="20"/>
        </w:rPr>
      </w:pPr>
      <w:r>
        <w:rPr>
          <w:rFonts w:asciiTheme="minorHAnsi" w:hAnsiTheme="minorHAnsi" w:cstheme="minorHAnsi"/>
          <w:szCs w:val="20"/>
        </w:rPr>
        <w:t>Elèves de l’enseignement obligatoire</w:t>
      </w:r>
    </w:p>
    <w:p>
      <w:pPr>
        <w:pStyle w:val="Paragraphevademecumformif"/>
        <w:numPr>
          <w:ilvl w:val="0"/>
          <w:numId w:val="85"/>
        </w:numPr>
        <w:tabs>
          <w:tab w:val="clear" w:pos="1440"/>
          <w:tab w:val="num" w:pos="720"/>
        </w:tabs>
        <w:spacing w:before="0" w:after="0" w:line="276" w:lineRule="auto"/>
        <w:ind w:left="714" w:hanging="357"/>
        <w:rPr>
          <w:rFonts w:asciiTheme="minorHAnsi" w:hAnsiTheme="minorHAnsi" w:cstheme="minorHAnsi"/>
          <w:szCs w:val="20"/>
        </w:rPr>
      </w:pPr>
      <w:r>
        <w:rPr>
          <w:rFonts w:asciiTheme="minorHAnsi" w:hAnsiTheme="minorHAnsi" w:cstheme="minorHAnsi"/>
          <w:szCs w:val="20"/>
        </w:rPr>
        <w:t>Enseignants</w:t>
      </w:r>
    </w:p>
    <w:p>
      <w:pPr>
        <w:pStyle w:val="Paragraphevademecumformif"/>
        <w:numPr>
          <w:ilvl w:val="0"/>
          <w:numId w:val="85"/>
        </w:numPr>
        <w:tabs>
          <w:tab w:val="clear" w:pos="1440"/>
          <w:tab w:val="num" w:pos="720"/>
        </w:tabs>
        <w:spacing w:before="0" w:after="0" w:line="276" w:lineRule="auto"/>
        <w:ind w:left="714" w:hanging="357"/>
        <w:rPr>
          <w:rFonts w:asciiTheme="minorHAnsi" w:hAnsiTheme="minorHAnsi" w:cstheme="minorHAnsi"/>
          <w:szCs w:val="20"/>
        </w:rPr>
      </w:pPr>
      <w:r>
        <w:rPr>
          <w:rFonts w:asciiTheme="minorHAnsi" w:hAnsiTheme="minorHAnsi" w:cstheme="minorHAnsi"/>
          <w:szCs w:val="20"/>
        </w:rPr>
        <w:t>Formateurs</w:t>
      </w:r>
    </w:p>
    <w:p>
      <w:pPr>
        <w:pStyle w:val="Paragraphevademecumformif"/>
        <w:numPr>
          <w:ilvl w:val="0"/>
          <w:numId w:val="85"/>
        </w:numPr>
        <w:tabs>
          <w:tab w:val="clear" w:pos="1440"/>
          <w:tab w:val="num" w:pos="720"/>
        </w:tabs>
        <w:spacing w:before="0" w:after="0" w:line="276" w:lineRule="auto"/>
        <w:ind w:left="714" w:hanging="357"/>
        <w:rPr>
          <w:rFonts w:asciiTheme="minorHAnsi" w:hAnsiTheme="minorHAnsi" w:cstheme="minorHAnsi"/>
          <w:szCs w:val="20"/>
        </w:rPr>
      </w:pPr>
      <w:r>
        <w:rPr>
          <w:rFonts w:asciiTheme="minorHAnsi" w:hAnsiTheme="minorHAnsi" w:cstheme="minorHAnsi"/>
          <w:szCs w:val="20"/>
        </w:rPr>
        <w:t>Haute Ecole</w:t>
      </w:r>
    </w:p>
    <w:p>
      <w:pPr>
        <w:pStyle w:val="Paragraphevademecumformif"/>
        <w:numPr>
          <w:ilvl w:val="0"/>
          <w:numId w:val="85"/>
        </w:numPr>
        <w:tabs>
          <w:tab w:val="clear" w:pos="1440"/>
          <w:tab w:val="num" w:pos="720"/>
        </w:tabs>
        <w:spacing w:before="0" w:after="0" w:line="276" w:lineRule="auto"/>
        <w:ind w:left="714" w:hanging="357"/>
        <w:rPr>
          <w:rFonts w:asciiTheme="minorHAnsi" w:hAnsiTheme="minorHAnsi" w:cstheme="minorHAnsi"/>
          <w:szCs w:val="20"/>
        </w:rPr>
      </w:pPr>
      <w:r>
        <w:rPr>
          <w:rFonts w:asciiTheme="minorHAnsi" w:hAnsiTheme="minorHAnsi" w:cstheme="minorHAnsi"/>
          <w:szCs w:val="20"/>
        </w:rPr>
        <w:t>Promotion sociale</w:t>
      </w:r>
    </w:p>
    <w:p>
      <w:pPr>
        <w:pStyle w:val="Paragraphevademecumformif"/>
        <w:numPr>
          <w:ilvl w:val="0"/>
          <w:numId w:val="85"/>
        </w:numPr>
        <w:tabs>
          <w:tab w:val="clear" w:pos="1440"/>
          <w:tab w:val="num" w:pos="720"/>
        </w:tabs>
        <w:spacing w:before="0" w:after="0" w:line="276" w:lineRule="auto"/>
        <w:ind w:left="714" w:hanging="357"/>
        <w:rPr>
          <w:rFonts w:asciiTheme="minorHAnsi" w:hAnsiTheme="minorHAnsi" w:cstheme="minorHAnsi"/>
          <w:szCs w:val="20"/>
        </w:rPr>
      </w:pPr>
      <w:r>
        <w:rPr>
          <w:rFonts w:asciiTheme="minorHAnsi" w:hAnsiTheme="minorHAnsi" w:cstheme="minorHAnsi"/>
          <w:szCs w:val="20"/>
        </w:rPr>
        <w:t>Travailleurs</w:t>
      </w:r>
    </w:p>
    <w:p>
      <w:pPr>
        <w:pStyle w:val="Paragraphevademecumformif"/>
        <w:numPr>
          <w:ilvl w:val="0"/>
          <w:numId w:val="85"/>
        </w:numPr>
        <w:tabs>
          <w:tab w:val="clear" w:pos="1440"/>
          <w:tab w:val="num" w:pos="720"/>
        </w:tabs>
        <w:spacing w:before="0" w:after="0" w:line="276" w:lineRule="auto"/>
        <w:ind w:left="714" w:hanging="357"/>
        <w:rPr>
          <w:rFonts w:asciiTheme="minorHAnsi" w:hAnsiTheme="minorHAnsi" w:cstheme="minorHAnsi"/>
          <w:szCs w:val="20"/>
        </w:rPr>
      </w:pPr>
      <w:r>
        <w:rPr>
          <w:rFonts w:asciiTheme="minorHAnsi" w:hAnsiTheme="minorHAnsi" w:cstheme="minorHAnsi"/>
          <w:szCs w:val="20"/>
        </w:rPr>
        <w:t>Université</w:t>
      </w:r>
    </w:p>
    <w:p>
      <w:pPr>
        <w:pStyle w:val="Paragraphevademecumformif"/>
        <w:numPr>
          <w:ilvl w:val="0"/>
          <w:numId w:val="85"/>
        </w:numPr>
        <w:tabs>
          <w:tab w:val="clear" w:pos="1440"/>
          <w:tab w:val="num" w:pos="720"/>
        </w:tabs>
        <w:spacing w:before="0" w:after="0" w:line="276" w:lineRule="auto"/>
        <w:ind w:left="714" w:hanging="357"/>
        <w:rPr>
          <w:rFonts w:asciiTheme="minorHAnsi" w:hAnsiTheme="minorHAnsi" w:cstheme="minorHAnsi"/>
          <w:szCs w:val="20"/>
        </w:rPr>
      </w:pPr>
      <w:r>
        <w:rPr>
          <w:rFonts w:asciiTheme="minorHAnsi" w:hAnsiTheme="minorHAnsi" w:cstheme="minorHAnsi"/>
          <w:szCs w:val="20"/>
        </w:rPr>
        <w:t>Apprenants IFAPME</w:t>
      </w:r>
    </w:p>
    <w:p>
      <w:pPr>
        <w:pStyle w:val="Paragraphevademecumformif"/>
        <w:numPr>
          <w:ilvl w:val="0"/>
          <w:numId w:val="85"/>
        </w:numPr>
        <w:tabs>
          <w:tab w:val="clear" w:pos="1440"/>
          <w:tab w:val="num" w:pos="720"/>
        </w:tabs>
        <w:spacing w:before="0" w:after="0" w:line="276" w:lineRule="auto"/>
        <w:ind w:left="714" w:hanging="357"/>
        <w:rPr>
          <w:rFonts w:asciiTheme="minorHAnsi" w:hAnsiTheme="minorHAnsi" w:cstheme="minorHAnsi"/>
          <w:szCs w:val="20"/>
        </w:rPr>
      </w:pPr>
      <w:r>
        <w:rPr>
          <w:rFonts w:asciiTheme="minorHAnsi" w:hAnsiTheme="minorHAnsi" w:cstheme="minorHAnsi"/>
          <w:szCs w:val="20"/>
        </w:rPr>
        <w:t>Apprenants AWIPH</w:t>
      </w:r>
    </w:p>
    <w:p>
      <w:pPr>
        <w:pStyle w:val="Paragraphevademecumformif"/>
        <w:numPr>
          <w:ilvl w:val="0"/>
          <w:numId w:val="85"/>
        </w:numPr>
        <w:tabs>
          <w:tab w:val="clear" w:pos="1440"/>
          <w:tab w:val="num" w:pos="720"/>
        </w:tabs>
        <w:spacing w:before="0" w:after="0" w:line="276" w:lineRule="auto"/>
        <w:ind w:left="714" w:hanging="357"/>
        <w:rPr>
          <w:rFonts w:asciiTheme="minorHAnsi" w:hAnsiTheme="minorHAnsi" w:cstheme="minorHAnsi"/>
          <w:szCs w:val="20"/>
        </w:rPr>
      </w:pPr>
      <w:r>
        <w:rPr>
          <w:rFonts w:asciiTheme="minorHAnsi" w:hAnsiTheme="minorHAnsi" w:cstheme="minorHAnsi"/>
          <w:szCs w:val="20"/>
        </w:rPr>
        <w:t>Apprenants SFPME</w:t>
      </w:r>
    </w:p>
    <w:p>
      <w:pPr>
        <w:spacing w:line="276" w:lineRule="auto"/>
        <w:rPr>
          <w:rFonts w:asciiTheme="minorHAnsi" w:hAnsiTheme="minorHAnsi" w:cstheme="minorHAnsi"/>
          <w:b/>
        </w:rPr>
      </w:pPr>
      <w:r>
        <w:rPr>
          <w:rFonts w:asciiTheme="minorHAnsi" w:hAnsiTheme="minorHAnsi" w:cstheme="minorHAnsi"/>
          <w:b/>
        </w:rPr>
        <w:br w:type="page"/>
      </w:r>
    </w:p>
    <w:p>
      <w:pPr>
        <w:pStyle w:val="Paragraphedeliste"/>
        <w:numPr>
          <w:ilvl w:val="1"/>
          <w:numId w:val="90"/>
        </w:numPr>
        <w:tabs>
          <w:tab w:val="left" w:pos="426"/>
        </w:tabs>
        <w:spacing w:after="240" w:line="276" w:lineRule="auto"/>
        <w:ind w:left="284" w:hanging="284"/>
        <w:jc w:val="both"/>
        <w:rPr>
          <w:rFonts w:asciiTheme="minorHAnsi" w:hAnsiTheme="minorHAnsi" w:cstheme="minorHAnsi"/>
          <w:b/>
        </w:rPr>
      </w:pPr>
      <w:r>
        <w:rPr>
          <w:rFonts w:asciiTheme="minorHAnsi" w:hAnsiTheme="minorHAnsi" w:cstheme="minorHAnsi"/>
          <w:b/>
        </w:rPr>
        <w:lastRenderedPageBreak/>
        <w:t>Formation</w:t>
      </w:r>
    </w:p>
    <w:p>
      <w:pPr>
        <w:spacing w:after="120" w:line="276" w:lineRule="auto"/>
        <w:rPr>
          <w:rFonts w:asciiTheme="minorHAnsi" w:hAnsiTheme="minorHAnsi" w:cstheme="minorHAnsi"/>
          <w:sz w:val="20"/>
          <w:szCs w:val="20"/>
        </w:rPr>
      </w:pPr>
      <w:r>
        <w:rPr>
          <w:rFonts w:asciiTheme="minorHAnsi" w:hAnsiTheme="minorHAnsi" w:cstheme="minorHAnsi"/>
          <w:sz w:val="20"/>
          <w:szCs w:val="20"/>
        </w:rPr>
        <w:t>Une fois le public-cible choisi, vous devez encoder le code de la formation et son intitulé :</w:t>
      </w:r>
    </w:p>
    <w:p>
      <w:pPr>
        <w:spacing w:after="120" w:line="276" w:lineRule="auto"/>
        <w:jc w:val="center"/>
        <w:rPr>
          <w:rFonts w:asciiTheme="minorHAnsi" w:hAnsiTheme="minorHAnsi" w:cstheme="minorHAnsi"/>
          <w:szCs w:val="20"/>
        </w:rPr>
      </w:pPr>
      <w:r>
        <w:rPr>
          <w:noProof/>
          <w:lang w:eastAsia="fr-BE"/>
        </w:rPr>
        <w:drawing>
          <wp:inline distT="0" distB="0" distL="0" distR="0">
            <wp:extent cx="4191000" cy="914400"/>
            <wp:effectExtent l="19050" t="19050" r="19050" b="19050"/>
            <wp:docPr id="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71"/>
                    <a:stretch>
                      <a:fillRect/>
                    </a:stretch>
                  </pic:blipFill>
                  <pic:spPr>
                    <a:xfrm>
                      <a:off x="0" y="0"/>
                      <a:ext cx="4191000" cy="914400"/>
                    </a:xfrm>
                    <a:prstGeom prst="rect">
                      <a:avLst/>
                    </a:prstGeom>
                    <a:ln>
                      <a:solidFill>
                        <a:schemeClr val="tx1"/>
                      </a:solidFill>
                    </a:ln>
                  </pic:spPr>
                </pic:pic>
              </a:graphicData>
            </a:graphic>
          </wp:inline>
        </w:drawing>
      </w:r>
    </w:p>
    <w:p>
      <w:pPr>
        <w:pStyle w:val="Paragraphedeliste"/>
        <w:numPr>
          <w:ilvl w:val="1"/>
          <w:numId w:val="90"/>
        </w:numPr>
        <w:tabs>
          <w:tab w:val="left" w:pos="426"/>
        </w:tabs>
        <w:spacing w:before="240" w:after="240" w:line="276" w:lineRule="auto"/>
        <w:ind w:left="284" w:hanging="284"/>
        <w:jc w:val="both"/>
        <w:rPr>
          <w:rFonts w:asciiTheme="minorHAnsi" w:hAnsiTheme="minorHAnsi" w:cstheme="minorHAnsi"/>
          <w:b/>
        </w:rPr>
      </w:pPr>
      <w:r>
        <w:rPr>
          <w:rFonts w:asciiTheme="minorHAnsi" w:hAnsiTheme="minorHAnsi" w:cstheme="minorHAnsi"/>
          <w:b/>
        </w:rPr>
        <w:t>Données CTA</w:t>
      </w:r>
    </w:p>
    <w:p>
      <w:pPr>
        <w:spacing w:after="120" w:line="276" w:lineRule="auto"/>
        <w:rPr>
          <w:rFonts w:asciiTheme="minorHAnsi" w:hAnsiTheme="minorHAnsi" w:cstheme="minorHAnsi"/>
          <w:sz w:val="20"/>
          <w:szCs w:val="20"/>
        </w:rPr>
      </w:pPr>
      <w:r>
        <w:rPr>
          <w:rFonts w:asciiTheme="minorHAnsi" w:hAnsiTheme="minorHAnsi" w:cstheme="minorHAnsi"/>
          <w:sz w:val="20"/>
          <w:szCs w:val="20"/>
        </w:rPr>
        <w:t xml:space="preserve">Dans cette partie du formulaire, il convient en premier lieu de sélectionner le code FASE correspondant à votre CTA dans le menu déroulant prévu à cet effet. </w:t>
      </w:r>
    </w:p>
    <w:p>
      <w:pPr>
        <w:spacing w:after="120" w:line="276" w:lineRule="auto"/>
        <w:jc w:val="center"/>
        <w:rPr>
          <w:rFonts w:asciiTheme="minorHAnsi" w:hAnsiTheme="minorHAnsi" w:cstheme="minorHAnsi"/>
          <w:szCs w:val="20"/>
        </w:rPr>
      </w:pPr>
      <w:r>
        <w:rPr>
          <w:noProof/>
          <w:lang w:eastAsia="fr-BE"/>
        </w:rPr>
        <mc:AlternateContent>
          <mc:Choice Requires="wps">
            <w:drawing>
              <wp:anchor distT="0" distB="0" distL="114300" distR="114300" simplePos="0" relativeHeight="251699200" behindDoc="0" locked="0" layoutInCell="1" allowOverlap="1">
                <wp:simplePos x="0" y="0"/>
                <wp:positionH relativeFrom="column">
                  <wp:posOffset>3558753</wp:posOffset>
                </wp:positionH>
                <wp:positionV relativeFrom="paragraph">
                  <wp:posOffset>495944</wp:posOffset>
                </wp:positionV>
                <wp:extent cx="581891" cy="45719"/>
                <wp:effectExtent l="38100" t="95250" r="0" b="126365"/>
                <wp:wrapNone/>
                <wp:docPr id="1034" name="Connecteur droit avec flèche 6"/>
                <wp:cNvGraphicFramePr/>
                <a:graphic xmlns:a="http://schemas.openxmlformats.org/drawingml/2006/main">
                  <a:graphicData uri="http://schemas.microsoft.com/office/word/2010/wordprocessingShape">
                    <wps:wsp>
                      <wps:cNvCnPr/>
                      <wps:spPr>
                        <a:xfrm flipH="1">
                          <a:off x="0" y="0"/>
                          <a:ext cx="581891" cy="45719"/>
                        </a:xfrm>
                        <a:prstGeom prst="straightConnector1">
                          <a:avLst/>
                        </a:prstGeom>
                        <a:noFill/>
                        <a:ln w="571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Connecteur droit avec flèche 6" o:spid="_x0000_s1026" type="#_x0000_t32" style="position:absolute;margin-left:280.2pt;margin-top:39.05pt;width:45.8pt;height:3.6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t9o9wEAALoDAAAOAAAAZHJzL2Uyb0RvYy54bWysU81u2zAMvg/YOwi6L7a7pk2NOD0ky3YY&#10;tgBbH4CRZVuA/kCpcfJGe4+92CjZC7r1NswHgRTJj+Snz+vHs9HsJDEoZxteLUrOpBWuVbZv+NP3&#10;/bsVZyGCbUE7Kxt+kYE/bt6+WY++ljducLqVyAjEhnr0DR9i9HVRBDFIA2HhvLQU7BwaiORiX7QI&#10;I6EbXdyU5V0xOmw9OiFDoNvdFOSbjN91UsSvXRdkZLrhNFvMJ+bzmM5is4a6R/CDEvMY8A9TGFCW&#10;ml6hdhCBPaN6BWWUQBdcFxfCmcJ1nRIy70DbVOVf23wbwMu8C5ET/JWm8P9gxZfTAZlq6e3K97ec&#10;WTD0SltnLVEnn5G16FRkcJKCdfrnD3oXdpdYG32oqXhrDzh7wR8wUXDu0FCu8p8INJNCa7Jz5vxy&#10;5VyeIxN0uVxVq4eKM0Gh2+V99ZDAiwkloXkM8aN0hiWj4SEiqH6I84QOpw5w+hziVPi7IBVbt1da&#10;0z3U2rKRut1XS5KBAJJapyGSaTwtH2zPGeieNCwi5qGD06pN5ak6YH/camQnIB3t9yV985x/pKXe&#10;OwjDlJdDKQ1qoyLJXCvT8FUqnoUXQekPtmXx4on1iApsr+WMrG2qlFnE83aJ9InmZB1de8nsF8kj&#10;gWTiZjEnBb70yX75y21+AQAA//8DAFBLAwQUAAYACAAAACEAd+Zh7OEAAAAJAQAADwAAAGRycy9k&#10;b3ducmV2LnhtbEyPQU/CQBCF7yb+h82YeJMtaEtTuiWK0YvEBGrCdemObbE723QXKP56x5MeJ/Pl&#10;ve/ly9F24oSDbx0pmE4iEEiVMy3VCj7Kl7sUhA+ajO4coYILelgW11e5zow70wZP21ALDiGfaQVN&#10;CH0mpa8atNpPXI/Ev083WB34HGppBn3mcNvJWRQl0uqWuKHRPa4arL62R6ugvHyXT+jeVvPN4b1f&#10;716fqTQHpW5vxscFiIBj+IPhV5/VoWCnvTuS8aJTECfRA6MK5ukUBANJPONxewVpfA+yyOX/BcUP&#10;AAAA//8DAFBLAQItABQABgAIAAAAIQC2gziS/gAAAOEBAAATAAAAAAAAAAAAAAAAAAAAAABbQ29u&#10;dGVudF9UeXBlc10ueG1sUEsBAi0AFAAGAAgAAAAhADj9If/WAAAAlAEAAAsAAAAAAAAAAAAAAAAA&#10;LwEAAF9yZWxzLy5yZWxzUEsBAi0AFAAGAAgAAAAhAKy632j3AQAAugMAAA4AAAAAAAAAAAAAAAAA&#10;LgIAAGRycy9lMm9Eb2MueG1sUEsBAi0AFAAGAAgAAAAhAHfmYezhAAAACQEAAA8AAAAAAAAAAAAA&#10;AAAAUQQAAGRycy9kb3ducmV2LnhtbFBLBQYAAAAABAAEAPMAAABfBQAAAAA=&#10;" strokecolor="red" strokeweight="4.5pt">
                <v:stroke endarrow="block" joinstyle="miter"/>
              </v:shape>
            </w:pict>
          </mc:Fallback>
        </mc:AlternateContent>
      </w:r>
      <w:r>
        <w:rPr>
          <w:noProof/>
          <w:lang w:eastAsia="fr-BE"/>
        </w:rPr>
        <w:drawing>
          <wp:inline distT="0" distB="0" distL="0" distR="0">
            <wp:extent cx="1685925" cy="733425"/>
            <wp:effectExtent l="19050" t="19050" r="28575" b="28575"/>
            <wp:docPr id="1033" name="Imag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685925" cy="733425"/>
                    </a:xfrm>
                    <a:prstGeom prst="rect">
                      <a:avLst/>
                    </a:prstGeom>
                    <a:ln>
                      <a:solidFill>
                        <a:schemeClr val="tx1"/>
                      </a:solidFill>
                    </a:ln>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Une fois ce numéro encodé, les renseignements relatifs à votre centre s’insèrent automatiquement dans le formulaire :</w:t>
      </w:r>
    </w:p>
    <w:p>
      <w:pPr>
        <w:spacing w:after="120" w:line="276" w:lineRule="auto"/>
        <w:jc w:val="center"/>
        <w:rPr>
          <w:rFonts w:asciiTheme="minorHAnsi" w:hAnsiTheme="minorHAnsi" w:cstheme="minorHAnsi"/>
          <w:szCs w:val="20"/>
        </w:rPr>
      </w:pPr>
      <w:r>
        <w:rPr>
          <w:noProof/>
          <w:lang w:eastAsia="fr-BE"/>
        </w:rPr>
        <mc:AlternateContent>
          <mc:Choice Requires="wps">
            <w:drawing>
              <wp:anchor distT="0" distB="0" distL="114300" distR="114300" simplePos="0" relativeHeight="251700224" behindDoc="0" locked="0" layoutInCell="1" allowOverlap="1">
                <wp:simplePos x="0" y="0"/>
                <wp:positionH relativeFrom="column">
                  <wp:posOffset>5110480</wp:posOffset>
                </wp:positionH>
                <wp:positionV relativeFrom="paragraph">
                  <wp:posOffset>555956</wp:posOffset>
                </wp:positionV>
                <wp:extent cx="644056" cy="63611"/>
                <wp:effectExtent l="0" t="0" r="3810" b="0"/>
                <wp:wrapNone/>
                <wp:docPr id="1036" name="Rectangle 1036"/>
                <wp:cNvGraphicFramePr/>
                <a:graphic xmlns:a="http://schemas.openxmlformats.org/drawingml/2006/main">
                  <a:graphicData uri="http://schemas.microsoft.com/office/word/2010/wordprocessingShape">
                    <wps:wsp>
                      <wps:cNvSpPr/>
                      <wps:spPr>
                        <a:xfrm>
                          <a:off x="0" y="0"/>
                          <a:ext cx="644056" cy="6361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036" o:spid="_x0000_s1026" style="position:absolute;margin-left:402.4pt;margin-top:43.8pt;width:50.7pt;height:5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4XkQIAAIgFAAAOAAAAZHJzL2Uyb0RvYy54bWysVMFu2zAMvQ/YPwi6r7bTNtuCOEWQosOA&#10;og3aDj0rshQbkEVNUuJkXz9Ksp22K3YYloMiiuQj+UxyfnVoFdkL6xrQJS3OckqE5lA1elvSH083&#10;n75Q4jzTFVOgRUmPwtGrxccP887MxARqUJWwBEG0m3WmpLX3ZpZljteiZe4MjNColGBb5lG026yy&#10;rEP0VmWTPJ9mHdjKWODCOXy9Tkq6iPhSCu7vpXTCE1VSzM3H08ZzE85sMWezrWWmbnifBvuHLFrW&#10;aAw6Ql0zz8jONn9AtQ234ED6Mw5tBlI2XMQasJoif1PNY82MiLUgOc6MNLn/B8vv9mtLmgq/XX4+&#10;pUSzFr/SA/LG9FYJEl+RpM64Gdo+mrXtJYfXUPFB2jb8Yy3kEIk9jsSKgyccH6cXF/klonNUTc+n&#10;RRF4z06+xjr/TUBLwqWkFsNHNtn+1vlkOpiEUA5UU900SkUhtIpYKUv2DD/yZjuAv7JSOthqCF4J&#10;MLxkoaxUSLz5oxLBTukHIZEVTH0SE4n9eArCOBfaF0lVs0qk2Jc5/vrSRo9YaAQMyBLjj9g9wOsC&#10;BuyUZW8fXEVs59E5/1tiyXn0iJFB+9G5bTTY9wAUVtVHTvYDSYmawNIGqiP2jIU0TM7wmwY/2y1z&#10;fs0sTg/OGW4Ef4+HVNCVFPobJTXYX++9B3tsatRS0uE0ltT93DErKFHfNbb71wI7CMc3CheXnyco&#10;2JeazUuN3rUrwF4ocPcYHq/B3qvhKi20z7g4liEqqpjmGLuk3NtBWPm0JXD1cLFcRjMcWcP8rX40&#10;PIAHVkNbPh2emTV973rs+TsYJpfN3rRwsg2eGpY7D7KJ/X3itecbxz02Tr+awj55KUer0wJd/AYA&#10;AP//AwBQSwMEFAAGAAgAAAAhAHjUPxPeAAAACQEAAA8AAABkcnMvZG93bnJldi54bWxMj0FPwzAM&#10;he9I/IfISNxYwmDtKE0nhGBi3NhWzllj2orGKU26lX+POcHt2e/p+XO+mlwnjjiE1pOG65kCgVR5&#10;21KtYb97vlqCCNGQNZ0n1PCNAVbF+VluMutP9IbHbawFl1DIjIYmxj6TMlQNOhNmvkdi78MPzkQe&#10;h1rawZy43HVyrlQinWmJLzSmx8cGq8/t6DSMi3TzNL1/rW9KVaavZbd4iete68uL6eEeRMQp/oXh&#10;F5/RoWCmgx/JBtFpWKpbRo8s0gQEB+5UMgdxYMELWeTy/wfFDwAAAP//AwBQSwECLQAUAAYACAAA&#10;ACEAtoM4kv4AAADhAQAAEwAAAAAAAAAAAAAAAAAAAAAAW0NvbnRlbnRfVHlwZXNdLnhtbFBLAQIt&#10;ABQABgAIAAAAIQA4/SH/1gAAAJQBAAALAAAAAAAAAAAAAAAAAC8BAABfcmVscy8ucmVsc1BLAQIt&#10;ABQABgAIAAAAIQB+jo4XkQIAAIgFAAAOAAAAAAAAAAAAAAAAAC4CAABkcnMvZTJvRG9jLnhtbFBL&#10;AQItABQABgAIAAAAIQB41D8T3gAAAAkBAAAPAAAAAAAAAAAAAAAAAOsEAABkcnMvZG93bnJldi54&#10;bWxQSwUGAAAAAAQABADzAAAA9gUAAAAA&#10;" fillcolor="white [3212]" stroked="f" strokeweight="2pt"/>
            </w:pict>
          </mc:Fallback>
        </mc:AlternateContent>
      </w:r>
      <w:r>
        <w:rPr>
          <w:noProof/>
          <w:lang w:eastAsia="fr-BE"/>
        </w:rPr>
        <w:drawing>
          <wp:inline distT="0" distB="0" distL="0" distR="0">
            <wp:extent cx="5828306" cy="677934"/>
            <wp:effectExtent l="19050" t="19050" r="20320" b="27305"/>
            <wp:docPr id="1035" name="Imag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828306" cy="677934"/>
                    </a:xfrm>
                    <a:prstGeom prst="rect">
                      <a:avLst/>
                    </a:prstGeom>
                    <a:ln>
                      <a:solidFill>
                        <a:schemeClr val="tx1"/>
                      </a:solidFill>
                    </a:ln>
                  </pic:spPr>
                </pic:pic>
              </a:graphicData>
            </a:graphic>
          </wp:inline>
        </w:drawing>
      </w:r>
    </w:p>
    <w:p>
      <w:pPr>
        <w:pStyle w:val="Paragraphedeliste"/>
        <w:numPr>
          <w:ilvl w:val="1"/>
          <w:numId w:val="90"/>
        </w:numPr>
        <w:tabs>
          <w:tab w:val="left" w:pos="426"/>
        </w:tabs>
        <w:spacing w:before="240" w:after="240" w:line="276" w:lineRule="auto"/>
        <w:ind w:left="284" w:hanging="284"/>
        <w:jc w:val="both"/>
        <w:rPr>
          <w:rFonts w:asciiTheme="minorHAnsi" w:hAnsiTheme="minorHAnsi" w:cstheme="minorHAnsi"/>
          <w:b/>
        </w:rPr>
      </w:pPr>
      <w:r>
        <w:rPr>
          <w:rFonts w:asciiTheme="minorHAnsi" w:hAnsiTheme="minorHAnsi" w:cstheme="minorHAnsi"/>
          <w:b/>
        </w:rPr>
        <w:t>Données participant</w:t>
      </w:r>
    </w:p>
    <w:p>
      <w:pPr>
        <w:pStyle w:val="Paragraphedeliste"/>
        <w:numPr>
          <w:ilvl w:val="2"/>
          <w:numId w:val="90"/>
        </w:numPr>
        <w:spacing w:before="120" w:after="120" w:line="276" w:lineRule="auto"/>
        <w:ind w:left="709"/>
        <w:jc w:val="both"/>
        <w:rPr>
          <w:rFonts w:asciiTheme="minorHAnsi" w:hAnsiTheme="minorHAnsi" w:cstheme="minorHAnsi"/>
          <w:b/>
          <w:i/>
        </w:rPr>
      </w:pPr>
      <w:r>
        <w:rPr>
          <w:rFonts w:asciiTheme="minorHAnsi" w:hAnsiTheme="minorHAnsi" w:cstheme="minorHAnsi"/>
          <w:b/>
          <w:i/>
        </w:rPr>
        <w:t>Données participant – école</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Lorsque le public-cible choisi est « élèves de l’enseignement obligatoire », il convient de compléter les données concernant l’établissement utilisateur. </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Voici l’encart qui permet de collecter les informations relatives à l’établissement qui envoie ses élèves en formation dans votre CTA :</w:t>
      </w:r>
    </w:p>
    <w:p>
      <w:pPr>
        <w:spacing w:line="276" w:lineRule="auto"/>
        <w:rPr>
          <w:rFonts w:asciiTheme="minorHAnsi" w:hAnsiTheme="minorHAnsi" w:cstheme="minorHAnsi"/>
        </w:rPr>
      </w:pPr>
      <w:r>
        <w:rPr>
          <w:noProof/>
          <w:lang w:eastAsia="fr-BE"/>
        </w:rPr>
        <w:drawing>
          <wp:inline distT="0" distB="0" distL="0" distR="0">
            <wp:extent cx="5759450" cy="1319917"/>
            <wp:effectExtent l="19050" t="19050" r="12700" b="13970"/>
            <wp:docPr id="1037" name="Imag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803853" cy="1330093"/>
                    </a:xfrm>
                    <a:prstGeom prst="rect">
                      <a:avLst/>
                    </a:prstGeom>
                    <a:ln>
                      <a:solidFill>
                        <a:schemeClr val="tx1"/>
                      </a:solidFill>
                    </a:ln>
                  </pic:spPr>
                </pic:pic>
              </a:graphicData>
            </a:graphic>
          </wp:inline>
        </w:drawing>
      </w:r>
    </w:p>
    <w:p>
      <w:pPr>
        <w:spacing w:line="276" w:lineRule="auto"/>
        <w:rPr>
          <w:rFonts w:asciiTheme="minorHAnsi" w:hAnsiTheme="minorHAnsi" w:cstheme="minorHAnsi"/>
        </w:rPr>
      </w:pPr>
      <w:r>
        <w:rPr>
          <w:rFonts w:asciiTheme="minorHAnsi" w:hAnsiTheme="minorHAnsi" w:cstheme="minorHAnsi"/>
        </w:rPr>
        <w:br w:type="page"/>
      </w:r>
    </w:p>
    <w:p>
      <w:pPr>
        <w:spacing w:after="120" w:line="276" w:lineRule="auto"/>
        <w:jc w:val="both"/>
        <w:rPr>
          <w:rFonts w:asciiTheme="minorHAnsi" w:hAnsiTheme="minorHAnsi" w:cstheme="minorHAnsi"/>
          <w:sz w:val="20"/>
          <w:szCs w:val="20"/>
        </w:rPr>
      </w:pPr>
      <w:r>
        <w:rPr>
          <w:noProof/>
          <w:sz w:val="20"/>
          <w:szCs w:val="20"/>
          <w:lang w:eastAsia="fr-BE"/>
        </w:rPr>
        <w:lastRenderedPageBreak/>
        <mc:AlternateContent>
          <mc:Choice Requires="wps">
            <w:drawing>
              <wp:anchor distT="0" distB="0" distL="114300" distR="114300" simplePos="0" relativeHeight="251701248" behindDoc="0" locked="0" layoutInCell="1" allowOverlap="1">
                <wp:simplePos x="0" y="0"/>
                <wp:positionH relativeFrom="column">
                  <wp:posOffset>3973719</wp:posOffset>
                </wp:positionH>
                <wp:positionV relativeFrom="paragraph">
                  <wp:posOffset>187932</wp:posOffset>
                </wp:positionV>
                <wp:extent cx="1359673" cy="460928"/>
                <wp:effectExtent l="38100" t="19050" r="31115" b="92075"/>
                <wp:wrapNone/>
                <wp:docPr id="1039" name="Connecteur droit avec flèche 6"/>
                <wp:cNvGraphicFramePr/>
                <a:graphic xmlns:a="http://schemas.openxmlformats.org/drawingml/2006/main">
                  <a:graphicData uri="http://schemas.microsoft.com/office/word/2010/wordprocessingShape">
                    <wps:wsp>
                      <wps:cNvCnPr/>
                      <wps:spPr>
                        <a:xfrm flipH="1">
                          <a:off x="0" y="0"/>
                          <a:ext cx="1359673" cy="460928"/>
                        </a:xfrm>
                        <a:prstGeom prst="straightConnector1">
                          <a:avLst/>
                        </a:prstGeom>
                        <a:noFill/>
                        <a:ln w="571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Connecteur droit avec flèche 6" o:spid="_x0000_s1026" type="#_x0000_t32" style="position:absolute;margin-left:312.9pt;margin-top:14.8pt;width:107.05pt;height:36.3pt;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vR+QEAALwDAAAOAAAAZHJzL2Uyb0RvYy54bWysU8uu0zAQ3SPxD5b3NGlLe3ujpnfRUlgg&#10;qAR8wNRxEkt+aezbtH/Ef/BjjJ1QXWCHyMLyeOYczxyfbJ+uRrOLxKCcrfl8VnImrXCNsl3Nv309&#10;vtlwFiLYBrSzsuY3GfjT7vWr7eAruXC9041ERiQ2VIOveR+jr4oiiF4aCDPnpaVk69BApBC7okEY&#10;iN3oYlGW62Jw2Hh0QoZAp4cxyXeZv22liJ/bNsjIdM2pt5hXzOs5rcVuC1WH4HslpjbgH7owoCxd&#10;eqc6QAT2jOovKqMEuuDaOBPOFK5tlZB5BppmXv4xzZcevMyzkDjB32UK/49WfLqckKmG3q5cPnJm&#10;wdAr7Z21JJ18RtagU5HBRQrW6h/f6V3YOqk2+FAReG9POEXBnzBJcG3RUK3yH4g0i0JjsmvW/HbX&#10;XF4jE3Q4X64e1w9LzgTl3q7Lx8Um0RcjT+LzGOJ76QxLm5qHiKC6Pk49OhzvgMvHEEfgL0ACW3dU&#10;WtM5VNqyoearh/mKjCCAzNZqiLQ1nsYPtuMMdEcuFhFz28Fp1SR4QgfsznuN7ALkpOOxpG/q87ey&#10;dPcBQj/W5VQqg8qoSEbXytR8k8CT9SIo/c42LN486R5Rge20nJi1TUiZbTxNl2QfhU67s2tuWf8i&#10;RWSRLNxk5+TBlzHtX/50u58AAAD//wMAUEsDBBQABgAIAAAAIQDG6jix4AAAAAoBAAAPAAAAZHJz&#10;L2Rvd25yZXYueG1sTI/BTsMwEETvSPyDtUjcqIMRoQlxKiiCCxVSGySubrwkKfE6it025etZTnBc&#10;zdPM22IxuV4ccAydJw3XswQEUu1tR42G9+r5ag4iREPW9J5QwwkDLMrzs8Lk1h9pjYdNbASXUMiN&#10;hjbGIZcy1C06E2Z+QOLs04/ORD7HRtrRHLnc9VIlSSqd6YgXWjPgssX6a7N3GqrTd/WI/nV5t969&#10;DauPlyeq7E7ry4vp4R5ExCn+wfCrz+pQstPW78kG0WtI1S2rRw0qS0EwML/JMhBbJhOlQJaF/P9C&#10;+QMAAP//AwBQSwECLQAUAAYACAAAACEAtoM4kv4AAADhAQAAEwAAAAAAAAAAAAAAAAAAAAAAW0Nv&#10;bnRlbnRfVHlwZXNdLnhtbFBLAQItABQABgAIAAAAIQA4/SH/1gAAAJQBAAALAAAAAAAAAAAAAAAA&#10;AC8BAABfcmVscy8ucmVsc1BLAQItABQABgAIAAAAIQAs+ivR+QEAALwDAAAOAAAAAAAAAAAAAAAA&#10;AC4CAABkcnMvZTJvRG9jLnhtbFBLAQItABQABgAIAAAAIQDG6jix4AAAAAoBAAAPAAAAAAAAAAAA&#10;AAAAAFMEAABkcnMvZG93bnJldi54bWxQSwUGAAAAAAQABADzAAAAYAUAAAAA&#10;" strokecolor="red" strokeweight="4.5pt">
                <v:stroke endarrow="block" joinstyle="miter"/>
              </v:shape>
            </w:pict>
          </mc:Fallback>
        </mc:AlternateContent>
      </w:r>
      <w:r>
        <w:rPr>
          <w:rFonts w:asciiTheme="minorHAnsi" w:hAnsiTheme="minorHAnsi" w:cstheme="minorHAnsi"/>
          <w:sz w:val="20"/>
          <w:szCs w:val="20"/>
        </w:rPr>
        <w:t>Afin que les données relatives à cet établissement s’y insèrent automatiquement, vous devez encoder le n° FASE l’école :</w:t>
      </w:r>
      <w:r>
        <w:rPr>
          <w:noProof/>
          <w:sz w:val="20"/>
          <w:szCs w:val="20"/>
          <w:lang w:eastAsia="fr-BE"/>
        </w:rPr>
        <w:t xml:space="preserve"> </w:t>
      </w:r>
    </w:p>
    <w:p>
      <w:pPr>
        <w:spacing w:after="120" w:line="276" w:lineRule="auto"/>
        <w:jc w:val="center"/>
        <w:rPr>
          <w:rFonts w:asciiTheme="minorHAnsi" w:hAnsiTheme="minorHAnsi" w:cstheme="minorHAnsi"/>
        </w:rPr>
      </w:pPr>
      <w:r>
        <w:rPr>
          <w:noProof/>
          <w:lang w:eastAsia="fr-BE"/>
        </w:rPr>
        <w:drawing>
          <wp:inline distT="0" distB="0" distL="0" distR="0">
            <wp:extent cx="2124075" cy="323850"/>
            <wp:effectExtent l="19050" t="19050" r="28575" b="19050"/>
            <wp:docPr id="1038" name="Imag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124075" cy="323850"/>
                    </a:xfrm>
                    <a:prstGeom prst="rect">
                      <a:avLst/>
                    </a:prstGeom>
                    <a:ln>
                      <a:solidFill>
                        <a:schemeClr val="tx1"/>
                      </a:solidFill>
                    </a:ln>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Une fois le n° FASE encodé, les données relatives à l’établissement scolaire s’insèrent automatiquement :</w:t>
      </w:r>
    </w:p>
    <w:p>
      <w:pPr>
        <w:spacing w:after="120" w:line="276" w:lineRule="auto"/>
        <w:jc w:val="center"/>
        <w:rPr>
          <w:rFonts w:asciiTheme="minorHAnsi" w:hAnsiTheme="minorHAnsi" w:cstheme="minorHAnsi"/>
        </w:rPr>
      </w:pPr>
      <w:r>
        <w:rPr>
          <w:noProof/>
          <w:lang w:eastAsia="fr-BE"/>
        </w:rPr>
        <w:drawing>
          <wp:inline distT="0" distB="0" distL="0" distR="0">
            <wp:extent cx="5759450" cy="1029970"/>
            <wp:effectExtent l="19050" t="19050" r="12700" b="17780"/>
            <wp:docPr id="104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76"/>
                    <a:stretch>
                      <a:fillRect/>
                    </a:stretch>
                  </pic:blipFill>
                  <pic:spPr>
                    <a:xfrm>
                      <a:off x="0" y="0"/>
                      <a:ext cx="5759450" cy="1029970"/>
                    </a:xfrm>
                    <a:prstGeom prst="rect">
                      <a:avLst/>
                    </a:prstGeom>
                    <a:ln>
                      <a:solidFill>
                        <a:schemeClr val="tx1"/>
                      </a:solidFill>
                    </a:ln>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Il vous reste ensuite à encoder les données suivantes au moyen des menus déroulants :</w:t>
      </w:r>
    </w:p>
    <w:p>
      <w:pPr>
        <w:spacing w:after="120" w:line="276" w:lineRule="auto"/>
        <w:jc w:val="center"/>
        <w:rPr>
          <w:rFonts w:asciiTheme="minorHAnsi" w:hAnsiTheme="minorHAnsi" w:cstheme="minorHAnsi"/>
        </w:rPr>
      </w:pPr>
      <w:r>
        <w:rPr>
          <w:noProof/>
          <w:lang w:eastAsia="fr-BE"/>
        </w:rPr>
        <w:drawing>
          <wp:inline distT="0" distB="0" distL="0" distR="0">
            <wp:extent cx="3657600" cy="639666"/>
            <wp:effectExtent l="19050" t="19050" r="19050" b="27305"/>
            <wp:docPr id="1009" name="Imag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t="8005" b="-1"/>
                    <a:stretch/>
                  </pic:blipFill>
                  <pic:spPr bwMode="auto">
                    <a:xfrm>
                      <a:off x="0" y="0"/>
                      <a:ext cx="3657600" cy="63966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pPr>
        <w:pStyle w:val="Paragraphedeliste"/>
        <w:numPr>
          <w:ilvl w:val="0"/>
          <w:numId w:val="87"/>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Concernant la cellule « NIVEAU », vous devez préciser s’il s’agit d’un niveau primaire (PRIM) ou secondaire (SEC).</w:t>
      </w:r>
    </w:p>
    <w:p>
      <w:pPr>
        <w:pStyle w:val="Paragraphedeliste"/>
        <w:numPr>
          <w:ilvl w:val="0"/>
          <w:numId w:val="87"/>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Concernant la cellule « TYPE », vous devez préciser s’il s’agit de plein exercice (P.E.) ou d’alternance (ALT).</w:t>
      </w:r>
    </w:p>
    <w:p>
      <w:pPr>
        <w:pStyle w:val="Paragraphedeliste"/>
        <w:numPr>
          <w:ilvl w:val="0"/>
          <w:numId w:val="87"/>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Concernant la cellule « ORD – SPEC », vous devez préciser s’il s’agit d’enseignement ordinaire (ORD) ou spécialisé (SPEC).</w:t>
      </w:r>
    </w:p>
    <w:p>
      <w:pPr>
        <w:pStyle w:val="Paragraphedeliste"/>
        <w:numPr>
          <w:ilvl w:val="0"/>
          <w:numId w:val="87"/>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Concernant la cellule « ANNEE », vous devez préciser l’année d’étude. Attention, le 4</w:t>
      </w:r>
      <w:r>
        <w:rPr>
          <w:rFonts w:asciiTheme="minorHAnsi" w:hAnsiTheme="minorHAnsi" w:cstheme="minorHAnsi"/>
          <w:sz w:val="20"/>
          <w:szCs w:val="20"/>
          <w:vertAlign w:val="superscript"/>
        </w:rPr>
        <w:t>e</w:t>
      </w:r>
      <w:r>
        <w:rPr>
          <w:rFonts w:asciiTheme="minorHAnsi" w:hAnsiTheme="minorHAnsi" w:cstheme="minorHAnsi"/>
          <w:sz w:val="20"/>
          <w:szCs w:val="20"/>
        </w:rPr>
        <w:t xml:space="preserve"> degré doit être numéroté de 7 à 9.</w:t>
      </w:r>
    </w:p>
    <w:p>
      <w:pPr>
        <w:pStyle w:val="Paragraphedeliste"/>
        <w:numPr>
          <w:ilvl w:val="0"/>
          <w:numId w:val="87"/>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Concernant la cellule « FILIERE », vous devez préciser s’il s’agit d’une option d’enseignement secondaire de la filière générale (G), de la filière artistique de transition (ATr), de la filière artistique de qualification (ATq), de la filière technique de transition (TTr), de la filière technique de qualification (TTq) ou de la filière professionnelle (P). Il existe un dernier choix : « Art. 45 ». Celui-ci n’est à effectuer que dans le cas d’un niveau secondaire ordinaire en alternance et uniquement s’il s’agit d’une option organisée sous l’article 45.</w:t>
      </w:r>
    </w:p>
    <w:p>
      <w:pPr>
        <w:spacing w:after="120" w:line="276" w:lineRule="auto"/>
        <w:ind w:left="720"/>
        <w:rPr>
          <w:rFonts w:asciiTheme="minorHAnsi" w:hAnsiTheme="minorHAnsi" w:cstheme="minorHAnsi"/>
          <w:sz w:val="20"/>
          <w:szCs w:val="20"/>
        </w:rPr>
      </w:pPr>
      <w:r>
        <w:rPr>
          <w:rFonts w:asciiTheme="minorHAnsi" w:hAnsiTheme="minorHAnsi" w:cstheme="minorHAnsi"/>
          <w:sz w:val="20"/>
          <w:szCs w:val="20"/>
        </w:rPr>
        <w:t>Toujours concernant la cellule « FILIERE », vous pouvez ne pas la compléter uniquement s’il s’agit d’élèves du dernier cycle de l’enseignement primaire ou du 1</w:t>
      </w:r>
      <w:r>
        <w:rPr>
          <w:rFonts w:asciiTheme="minorHAnsi" w:hAnsiTheme="minorHAnsi" w:cstheme="minorHAnsi"/>
          <w:sz w:val="20"/>
          <w:szCs w:val="20"/>
          <w:vertAlign w:val="superscript"/>
        </w:rPr>
        <w:t>er</w:t>
      </w:r>
      <w:r>
        <w:rPr>
          <w:rFonts w:asciiTheme="minorHAnsi" w:hAnsiTheme="minorHAnsi" w:cstheme="minorHAnsi"/>
          <w:sz w:val="20"/>
          <w:szCs w:val="20"/>
        </w:rPr>
        <w:t xml:space="preserve"> degré de l’enseignement secondaire. </w:t>
      </w:r>
    </w:p>
    <w:p>
      <w:pPr>
        <w:spacing w:line="276" w:lineRule="auto"/>
        <w:rPr>
          <w:rFonts w:asciiTheme="minorHAnsi" w:hAnsiTheme="minorHAnsi" w:cstheme="minorHAnsi"/>
        </w:rPr>
      </w:pPr>
      <w:r>
        <w:rPr>
          <w:rFonts w:asciiTheme="minorHAnsi" w:hAnsiTheme="minorHAnsi" w:cstheme="minorHAnsi"/>
        </w:rPr>
        <w:br w:type="page"/>
      </w:r>
    </w:p>
    <w:p>
      <w:pPr>
        <w:spacing w:after="120" w:line="276" w:lineRule="auto"/>
        <w:jc w:val="both"/>
        <w:rPr>
          <w:rFonts w:asciiTheme="minorHAnsi" w:hAnsiTheme="minorHAnsi" w:cstheme="minorHAnsi"/>
          <w:sz w:val="20"/>
          <w:szCs w:val="20"/>
        </w:rPr>
      </w:pPr>
      <w:r>
        <w:rPr>
          <w:noProof/>
          <w:sz w:val="20"/>
          <w:szCs w:val="20"/>
          <w:lang w:eastAsia="fr-BE"/>
        </w:rPr>
        <w:lastRenderedPageBreak/>
        <mc:AlternateContent>
          <mc:Choice Requires="wps">
            <w:drawing>
              <wp:anchor distT="0" distB="0" distL="114300" distR="114300" simplePos="0" relativeHeight="251703296" behindDoc="0" locked="0" layoutInCell="1" allowOverlap="1">
                <wp:simplePos x="0" y="0"/>
                <wp:positionH relativeFrom="column">
                  <wp:posOffset>4951591</wp:posOffset>
                </wp:positionH>
                <wp:positionV relativeFrom="paragraph">
                  <wp:posOffset>379620</wp:posOffset>
                </wp:positionV>
                <wp:extent cx="342044" cy="262393"/>
                <wp:effectExtent l="19050" t="19050" r="77470" b="61595"/>
                <wp:wrapNone/>
                <wp:docPr id="124" name="Connecteur droit avec flèche 6"/>
                <wp:cNvGraphicFramePr/>
                <a:graphic xmlns:a="http://schemas.openxmlformats.org/drawingml/2006/main">
                  <a:graphicData uri="http://schemas.microsoft.com/office/word/2010/wordprocessingShape">
                    <wps:wsp>
                      <wps:cNvCnPr/>
                      <wps:spPr>
                        <a:xfrm>
                          <a:off x="0" y="0"/>
                          <a:ext cx="342044" cy="262393"/>
                        </a:xfrm>
                        <a:prstGeom prst="straightConnector1">
                          <a:avLst/>
                        </a:prstGeom>
                        <a:noFill/>
                        <a:ln w="571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Connecteur droit avec flèche 6" o:spid="_x0000_s1026" type="#_x0000_t32" style="position:absolute;margin-left:389.9pt;margin-top:29.9pt;width:26.95pt;height:20.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qLC8QEAALADAAAOAAAAZHJzL2Uyb0RvYy54bWysU0uO2zAM3RfoHQTtGztOJp0acWaRNN0U&#10;bYBpD8DIsi1AP1CaOLlR79GLlVI86bSzK5qFQoriI/n4vH44G81OEoNytuHzWcmZtMK1yvYN//5t&#10;/+6esxDBtqCdlQ2/yMAfNm/frEdfy8oNTrcSGYHYUI++4UOMvi6KIAZpIMycl5aCnUMDkVzsixZh&#10;JHSji6osV8XosPXohAyBbnfXIN9k/K6TIn7tuiAj0w2n3mI+MZ/HdBabNdQ9gh+UmNqAf+jCgLJU&#10;9Aa1gwjsCdUrKKMEuuC6OBPOFK7rlJB5BppmXv41zeMAXuZZiJzgbzSF/wcrvpwOyFRLu6uWnFkw&#10;tKSts5aYk0/IWnQqMjhJwTr98wetha0SaaMPNeVu7QEnL/gDJgbOHZr0T7Oxcyb6ciNaniMTdLlY&#10;VuWSygkKVatq8WGRMIvfyR5D/CSdYcloeIgIqh/i1JjDeSYbTp9DvCY+J6TK1u2V1nQPtbZsbPjd&#10;+/kdLV8ACazTEMk0nkYOtucMdE/KFREzZHBatSk9ZQfsj1uN7ASknv2+pN/U5x/PUu0dhOH6LofS&#10;M6iNiiRurUzD71PyJLcISn+0LYsXT2RHVGB7LSdkbVOmzNKdpktcX9lN1tG1l0x6kTySRSZuknDS&#10;3Uuf7Jcf2uYXAAAA//8DAFBLAwQUAAYACAAAACEAwu277N4AAAAKAQAADwAAAGRycy9kb3ducmV2&#10;LnhtbEyPwU7DMAyG70i8Q2QkLoilpYKW0nRCaBzgBN20s9d4bUXjVE22ZW9PdoKTZfnT7++vlsGM&#10;4kizGywrSBcJCOLW6oE7BZv1+30BwnlkjaNlUnAmB8v6+qrCUtsTf9Ox8Z2IIexKVNB7P5VSurYn&#10;g25hJ+J429vZoI/r3Ek94ymGm1E+JMmTNDhw/NDjRG89tT/NwSj4oK+w/Vzd4VmHxof1ntNVkSl1&#10;exNeX0B4Cv4Phot+VIc6Ou3sgbUTo4I8f47qXsHjZUagyLIcxC6SSZqCrCv5v0L9CwAA//8DAFBL&#10;AQItABQABgAIAAAAIQC2gziS/gAAAOEBAAATAAAAAAAAAAAAAAAAAAAAAABbQ29udGVudF9UeXBl&#10;c10ueG1sUEsBAi0AFAAGAAgAAAAhADj9If/WAAAAlAEAAAsAAAAAAAAAAAAAAAAALwEAAF9yZWxz&#10;Ly5yZWxzUEsBAi0AFAAGAAgAAAAhAGtaosLxAQAAsAMAAA4AAAAAAAAAAAAAAAAALgIAAGRycy9l&#10;Mm9Eb2MueG1sUEsBAi0AFAAGAAgAAAAhAMLtu+zeAAAACgEAAA8AAAAAAAAAAAAAAAAASwQAAGRy&#10;cy9kb3ducmV2LnhtbFBLBQYAAAAABAAEAPMAAABWBQAAAAA=&#10;" strokecolor="red" strokeweight="4.5pt">
                <v:stroke endarrow="block" joinstyle="miter"/>
              </v:shape>
            </w:pict>
          </mc:Fallback>
        </mc:AlternateContent>
      </w:r>
      <w:r>
        <w:rPr>
          <w:noProof/>
          <w:sz w:val="20"/>
          <w:szCs w:val="20"/>
          <w:lang w:eastAsia="fr-BE"/>
        </w:rPr>
        <mc:AlternateContent>
          <mc:Choice Requires="wps">
            <w:drawing>
              <wp:anchor distT="0" distB="0" distL="114300" distR="114300" simplePos="0" relativeHeight="251702272" behindDoc="0" locked="0" layoutInCell="1" allowOverlap="1">
                <wp:simplePos x="0" y="0"/>
                <wp:positionH relativeFrom="margin">
                  <wp:posOffset>148727</wp:posOffset>
                </wp:positionH>
                <wp:positionV relativeFrom="paragraph">
                  <wp:posOffset>403474</wp:posOffset>
                </wp:positionV>
                <wp:extent cx="302564" cy="421420"/>
                <wp:effectExtent l="19050" t="19050" r="59690" b="55245"/>
                <wp:wrapNone/>
                <wp:docPr id="125" name="Connecteur droit avec flèche 125"/>
                <wp:cNvGraphicFramePr/>
                <a:graphic xmlns:a="http://schemas.openxmlformats.org/drawingml/2006/main">
                  <a:graphicData uri="http://schemas.microsoft.com/office/word/2010/wordprocessingShape">
                    <wps:wsp>
                      <wps:cNvCnPr/>
                      <wps:spPr>
                        <a:xfrm>
                          <a:off x="0" y="0"/>
                          <a:ext cx="302564" cy="421420"/>
                        </a:xfrm>
                        <a:prstGeom prst="straightConnector1">
                          <a:avLst/>
                        </a:prstGeom>
                        <a:noFill/>
                        <a:ln w="571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Connecteur droit avec flèche 125" o:spid="_x0000_s1026" type="#_x0000_t32" style="position:absolute;margin-left:11.7pt;margin-top:31.75pt;width:23.8pt;height:33.2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3EW8gEAALIDAAAOAAAAZHJzL2Uyb0RvYy54bWysU0uO2zAM3RfoHQTtGztuMh0EcWaRNN0U&#10;bYBOD8DIki1AP1CaOLlR79GLlVI86bTdDeqFTJriI/n4vH44W8NOEqP2ruXzWc2ZdMJ32vUt//64&#10;f3fPWUzgOjDeyZZfZOQPm7dv1mNYycYP3nQSGYG4uBpDy4eUwqqqohikhTjzQToKKo8WErnYVx3C&#10;SOjWVE1d31Wjxy6gFzJG+rq7Bvmm4CslRfqqVJSJmZZTb6mcWM5jPqvNGlY9Qhi0mNqAV3RhQTsq&#10;eoPaQQL2hPofKKsF+uhVmglvK6+UFrLMQNPM67+m+TZAkGUWIieGG03x/8GKL6cDMt3R7polZw4s&#10;LWnrnSPm5BOyDr1ODE5SMGV+/qC1sHyRaBtDXFH21h1w8mI4YObgrNDmN03HzoXqy41qeU5M0Mf3&#10;dbO8W3AmKLRo5oumrKL6nRwwpk/SW5aNlseEoPshTa15nBe64fQ5JipPic8JubLze21M2a1xbGz5&#10;8sN8SesXQBJTBhKZNtDQ0fWcgelJuyJhgYze6C6nZ6CI/XFrkJ2A9LPf1/Tk2ancH9dy7R3E4Xqv&#10;hK7KsjqRvI22Lb/PyZPgEmjz0XUsXQLRnVCD642ckI3LlWUR7zRd5vrKbraOvrsU0qvskTBKQ5OI&#10;s/Je+mS//NU2vwAAAP//AwBQSwMEFAAGAAgAAAAhAHxPC9XdAAAACAEAAA8AAABkcnMvZG93bnJl&#10;di54bWxMj8tOwzAQRfdI/IM1SGwQdR7QR4hTIVQWsIIUde3G0yQiHkex27p/z7CC5ege3Tm3XEc7&#10;iBNOvnekIJ0lIJAaZ3pqFXxtX++XIHzQZPTgCBVc0MO6ur4qdWHcmT7xVIdWcAn5QivoQhgLKX3T&#10;odV+5kYkzg5usjrwObXSTPrM5XaQWZLMpdU98YdOj/jSYfNdH62CN/yIu/fNnb6YWIe4PVC6WeZK&#10;3d7E5ycQAWP4g+FXn9WhYqe9O5LxYlCQ5Q9MKpjnjyA4X6Q8bc9ctlqBrEr5f0D1AwAA//8DAFBL&#10;AQItABQABgAIAAAAIQC2gziS/gAAAOEBAAATAAAAAAAAAAAAAAAAAAAAAABbQ29udGVudF9UeXBl&#10;c10ueG1sUEsBAi0AFAAGAAgAAAAhADj9If/WAAAAlAEAAAsAAAAAAAAAAAAAAAAALwEAAF9yZWxz&#10;Ly5yZWxzUEsBAi0AFAAGAAgAAAAhAPincRbyAQAAsgMAAA4AAAAAAAAAAAAAAAAALgIAAGRycy9l&#10;Mm9Eb2MueG1sUEsBAi0AFAAGAAgAAAAhAHxPC9XdAAAACAEAAA8AAAAAAAAAAAAAAAAATAQAAGRy&#10;cy9kb3ducmV2LnhtbFBLBQYAAAAABAAEAPMAAABWBQAAAAA=&#10;" strokecolor="red" strokeweight="4.5pt">
                <v:stroke endarrow="block" joinstyle="miter"/>
                <w10:wrap anchorx="margin"/>
              </v:shape>
            </w:pict>
          </mc:Fallback>
        </mc:AlternateContent>
      </w:r>
      <w:r>
        <w:rPr>
          <w:rFonts w:asciiTheme="minorHAnsi" w:hAnsiTheme="minorHAnsi" w:cstheme="minorHAnsi"/>
          <w:sz w:val="20"/>
          <w:szCs w:val="20"/>
        </w:rPr>
        <w:t>Une fois les données ci-dessus complétées, vous devez choisir une option. Pour cela, vous cliquez sur le bouton « OPTION », puis vous cliquez sur la cellule et vous choisissez le nom de l’option grâce au menu déroulant.</w:t>
      </w:r>
    </w:p>
    <w:p>
      <w:pPr>
        <w:spacing w:after="120" w:line="276" w:lineRule="auto"/>
        <w:jc w:val="center"/>
        <w:rPr>
          <w:rFonts w:asciiTheme="minorHAnsi" w:hAnsiTheme="minorHAnsi" w:cstheme="minorHAnsi"/>
        </w:rPr>
      </w:pPr>
      <w:r>
        <w:rPr>
          <w:noProof/>
          <w:lang w:eastAsia="fr-BE"/>
        </w:rPr>
        <w:drawing>
          <wp:inline distT="0" distB="0" distL="0" distR="0">
            <wp:extent cx="5759450" cy="429370"/>
            <wp:effectExtent l="19050" t="19050" r="12700" b="27940"/>
            <wp:docPr id="1010" name="Imag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b="13973"/>
                    <a:stretch/>
                  </pic:blipFill>
                  <pic:spPr bwMode="auto">
                    <a:xfrm>
                      <a:off x="0" y="0"/>
                      <a:ext cx="5759450" cy="42937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Les liste d’options s’adaptent, quelque que soit le niveau, le type, la filière et l’année choisi.</w:t>
      </w:r>
    </w:p>
    <w:p>
      <w:pPr>
        <w:pStyle w:val="Paragraphedeliste"/>
        <w:numPr>
          <w:ilvl w:val="2"/>
          <w:numId w:val="90"/>
        </w:numPr>
        <w:spacing w:before="120" w:after="120" w:line="276" w:lineRule="auto"/>
        <w:ind w:left="709"/>
        <w:jc w:val="both"/>
        <w:rPr>
          <w:rFonts w:asciiTheme="minorHAnsi" w:hAnsiTheme="minorHAnsi" w:cstheme="minorHAnsi"/>
          <w:b/>
          <w:i/>
        </w:rPr>
      </w:pPr>
      <w:r>
        <w:rPr>
          <w:rFonts w:asciiTheme="minorHAnsi" w:hAnsiTheme="minorHAnsi" w:cstheme="minorHAnsi"/>
          <w:b/>
          <w:i/>
        </w:rPr>
        <w:t>Liste établissements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Pour faciliter l’encodage des informations relatives à l’établissement scolaire qui envoie un groupe d’élève dans votre CTA, une liste Excel a été créée. Elle vous permet de faire une recherche par nom d’établissement, par commune ou encore par code postal :</w:t>
      </w:r>
    </w:p>
    <w:p>
      <w:pPr>
        <w:spacing w:after="120" w:line="276" w:lineRule="auto"/>
        <w:rPr>
          <w:rFonts w:asciiTheme="minorHAnsi" w:hAnsiTheme="minorHAnsi" w:cstheme="minorHAnsi"/>
        </w:rPr>
      </w:pPr>
      <w:r>
        <w:rPr>
          <w:noProof/>
          <w:lang w:eastAsia="fr-BE"/>
        </w:rPr>
        <w:drawing>
          <wp:inline distT="0" distB="0" distL="0" distR="0">
            <wp:extent cx="5759450" cy="2504440"/>
            <wp:effectExtent l="19050" t="19050" r="12700" b="10160"/>
            <wp:docPr id="104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79"/>
                    <a:stretch>
                      <a:fillRect/>
                    </a:stretch>
                  </pic:blipFill>
                  <pic:spPr>
                    <a:xfrm>
                      <a:off x="0" y="0"/>
                      <a:ext cx="5759450" cy="2504440"/>
                    </a:xfrm>
                    <a:prstGeom prst="rect">
                      <a:avLst/>
                    </a:prstGeom>
                    <a:ln>
                      <a:solidFill>
                        <a:schemeClr val="tx1"/>
                      </a:solidFill>
                    </a:ln>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Cette liste est accessible grâce à l’onglet « LISTE ETABLISSEMENTS » présent sur le menu (cf. point 2).</w:t>
      </w:r>
    </w:p>
    <w:p>
      <w:pPr>
        <w:pStyle w:val="Paragraphedeliste"/>
        <w:numPr>
          <w:ilvl w:val="2"/>
          <w:numId w:val="90"/>
        </w:numPr>
        <w:spacing w:before="120" w:after="120" w:line="276" w:lineRule="auto"/>
        <w:ind w:left="709"/>
        <w:jc w:val="both"/>
        <w:rPr>
          <w:rFonts w:asciiTheme="minorHAnsi" w:hAnsiTheme="minorHAnsi" w:cstheme="minorHAnsi"/>
          <w:b/>
          <w:i/>
        </w:rPr>
      </w:pPr>
      <w:r>
        <w:rPr>
          <w:rFonts w:asciiTheme="minorHAnsi" w:hAnsiTheme="minorHAnsi" w:cstheme="minorHAnsi"/>
          <w:b/>
          <w:i/>
        </w:rPr>
        <w:t>Opérateur utilisateur</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Lorsque le public-cible choisi est un public autre qu’« élèves de l’enseignement obligatoire », il convient de compléter les données concernant l’opérateur-utilisateur.</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Voici l’encart qui permet de collecter les informations relatives à l’établissement qui envoie ses apprenants en formation dans votre CTA :</w:t>
      </w:r>
    </w:p>
    <w:p>
      <w:pPr>
        <w:spacing w:after="120" w:line="276" w:lineRule="auto"/>
        <w:rPr>
          <w:rFonts w:asciiTheme="minorHAnsi" w:hAnsiTheme="minorHAnsi" w:cstheme="minorHAnsi"/>
        </w:rPr>
      </w:pPr>
      <w:r>
        <w:rPr>
          <w:noProof/>
          <w:lang w:eastAsia="fr-BE"/>
        </w:rPr>
        <w:drawing>
          <wp:inline distT="0" distB="0" distL="0" distR="0">
            <wp:extent cx="5758653" cy="699604"/>
            <wp:effectExtent l="19050" t="19050" r="13970" b="24765"/>
            <wp:docPr id="1011" name="Imag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t="11283" b="5992"/>
                    <a:stretch/>
                  </pic:blipFill>
                  <pic:spPr bwMode="auto">
                    <a:xfrm>
                      <a:off x="0" y="0"/>
                      <a:ext cx="5759450" cy="69970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pPr>
        <w:spacing w:line="276" w:lineRule="auto"/>
        <w:rPr>
          <w:rFonts w:asciiTheme="minorHAnsi" w:hAnsiTheme="minorHAnsi" w:cstheme="minorHAnsi"/>
        </w:rPr>
      </w:pPr>
      <w:r>
        <w:rPr>
          <w:rFonts w:asciiTheme="minorHAnsi" w:hAnsiTheme="minorHAnsi" w:cstheme="minorHAnsi"/>
        </w:rPr>
        <w:br w:type="page"/>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Il convient tout d’abord de sélection le type d’opérateur-utilisateur au moyen du menu déroulant, puis de compléter le nom de l’opérateur et ses coordonnées :</w:t>
      </w:r>
    </w:p>
    <w:p>
      <w:pPr>
        <w:spacing w:after="120" w:line="276" w:lineRule="auto"/>
        <w:jc w:val="center"/>
        <w:rPr>
          <w:rFonts w:asciiTheme="minorHAnsi" w:hAnsiTheme="minorHAnsi" w:cstheme="minorHAnsi"/>
        </w:rPr>
      </w:pPr>
      <w:r>
        <w:rPr>
          <w:noProof/>
          <w:lang w:eastAsia="fr-BE"/>
        </w:rPr>
        <mc:AlternateContent>
          <mc:Choice Requires="wps">
            <w:drawing>
              <wp:anchor distT="0" distB="0" distL="114300" distR="114300" simplePos="0" relativeHeight="251704320" behindDoc="0" locked="0" layoutInCell="1" allowOverlap="1">
                <wp:simplePos x="0" y="0"/>
                <wp:positionH relativeFrom="column">
                  <wp:posOffset>1787111</wp:posOffset>
                </wp:positionH>
                <wp:positionV relativeFrom="paragraph">
                  <wp:posOffset>171947</wp:posOffset>
                </wp:positionV>
                <wp:extent cx="3498574" cy="628153"/>
                <wp:effectExtent l="38100" t="19050" r="26035" b="114935"/>
                <wp:wrapNone/>
                <wp:docPr id="126" name="Connecteur droit avec flèche 6"/>
                <wp:cNvGraphicFramePr/>
                <a:graphic xmlns:a="http://schemas.openxmlformats.org/drawingml/2006/main">
                  <a:graphicData uri="http://schemas.microsoft.com/office/word/2010/wordprocessingShape">
                    <wps:wsp>
                      <wps:cNvCnPr/>
                      <wps:spPr>
                        <a:xfrm flipH="1">
                          <a:off x="0" y="0"/>
                          <a:ext cx="3498574" cy="628153"/>
                        </a:xfrm>
                        <a:prstGeom prst="straightConnector1">
                          <a:avLst/>
                        </a:prstGeom>
                        <a:noFill/>
                        <a:ln w="571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Connecteur droit avec flèche 6" o:spid="_x0000_s1026" type="#_x0000_t32" style="position:absolute;margin-left:140.7pt;margin-top:13.55pt;width:275.5pt;height:49.45pt;flip:x;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ODI+AEAALsDAAAOAAAAZHJzL2Uyb0RvYy54bWysU82O0zAQviPxDpbvbNrutluipntoKRwQ&#10;VAIeYOrYiSX/aext2jfiPXgxxk6oFrghcrA8nvk+z3z+snm6WMPOEqP2ruHzuxln0gnfatc1/NvX&#10;w5s1ZzGBa8F4Jxt+lZE/bV+/2gyhlgvfe9NKZETiYj2EhvcphbqqouilhXjng3SUVB4tJAqxq1qE&#10;gditqRaz2aoaPLYBvZAx0ul+TPJt4VdKivRZqSgTMw2n3lJZsaynvFbbDdQdQui1mNqAf+jCgnZ0&#10;6Y1qDwnYM+q/qKwW6KNX6U54W3mltJBlBppmPvtjmi89BFlmIXFiuMkU/x+t+HQ+ItMtvd1ixZkD&#10;S4+0886RcvIZWYteJwZnKZgyP77Ts7BVFm0IsSbszh1ximI4YlbgotBSrQ4fiLNoQlOyS5H8epNc&#10;XhITdHj/8Ha9fHzgTFButVjPl/eZvhp5Ml/AmN5Lb1neNDwmBN31aerR43gHnD/GNAJ/ATLY+YM2&#10;hs6hNo4NDV8+zpfkAwHkNWUg0dYGmj66jjMwHZlYJCxtR290m+EZHbE77QyyM5CRDocZfVOfv5Xl&#10;u/cQ+7GupHIZ1FYn8rnRtuHrDJ6cl0Cbd65l6RpI94QaXGfkxGxcRsri4mm6LPsodN6dfHst+lc5&#10;IocU4SY3Zwu+jGn/8p/b/gQAAP//AwBQSwMEFAAGAAgAAAAhAJK6WnTgAAAACgEAAA8AAABkcnMv&#10;ZG93bnJldi54bWxMj01PwkAQhu8m/ofNmHiTbauBpnZLEKMXCQnUxOvSHdtCd7bpLlD89Ywnvc3H&#10;k3eeyeej7cQJB986UhBPIhBIlTMt1Qo+y7eHFIQPmozuHKGCC3qYF7c3uc6MO9MGT9tQCw4hn2kF&#10;TQh9JqWvGrTaT1yPxLtvN1gduB1qaQZ95nDbySSKptLqlvhCo3tcNlgdtkeroLz8lC/oPpazzX7d&#10;r77eX6k0e6Xu78bFM4iAY/iD4Vef1aFgp507kvGiU5Ck8ROjXMxiEAykjwkPdkwm0whkkcv/LxRX&#10;AAAA//8DAFBLAQItABQABgAIAAAAIQC2gziS/gAAAOEBAAATAAAAAAAAAAAAAAAAAAAAAABbQ29u&#10;dGVudF9UeXBlc10ueG1sUEsBAi0AFAAGAAgAAAAhADj9If/WAAAAlAEAAAsAAAAAAAAAAAAAAAAA&#10;LwEAAF9yZWxzLy5yZWxzUEsBAi0AFAAGAAgAAAAhAJdQ4Mj4AQAAuwMAAA4AAAAAAAAAAAAAAAAA&#10;LgIAAGRycy9lMm9Eb2MueG1sUEsBAi0AFAAGAAgAAAAhAJK6WnTgAAAACgEAAA8AAAAAAAAAAAAA&#10;AAAAUgQAAGRycy9kb3ducmV2LnhtbFBLBQYAAAAABAAEAPMAAABfBQAAAAA=&#10;" strokecolor="red" strokeweight="4.5pt">
                <v:stroke endarrow="block" joinstyle="miter"/>
              </v:shape>
            </w:pict>
          </mc:Fallback>
        </mc:AlternateContent>
      </w:r>
      <w:r>
        <w:rPr>
          <w:noProof/>
          <w:lang w:eastAsia="fr-BE"/>
        </w:rPr>
        <w:drawing>
          <wp:inline distT="0" distB="0" distL="0" distR="0">
            <wp:extent cx="5191125" cy="247650"/>
            <wp:effectExtent l="19050" t="19050" r="28575" b="19050"/>
            <wp:docPr id="1012" name="Imag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191125" cy="247650"/>
                    </a:xfrm>
                    <a:prstGeom prst="rect">
                      <a:avLst/>
                    </a:prstGeom>
                    <a:ln>
                      <a:solidFill>
                        <a:schemeClr val="tx1"/>
                      </a:solidFill>
                    </a:ln>
                  </pic:spPr>
                </pic:pic>
              </a:graphicData>
            </a:graphic>
          </wp:inline>
        </w:drawing>
      </w:r>
    </w:p>
    <w:p>
      <w:pPr>
        <w:pStyle w:val="Paragraphedeliste"/>
        <w:numPr>
          <w:ilvl w:val="0"/>
          <w:numId w:val="87"/>
        </w:numPr>
        <w:spacing w:after="120" w:line="276" w:lineRule="auto"/>
        <w:contextualSpacing/>
        <w:jc w:val="both"/>
        <w:rPr>
          <w:rFonts w:asciiTheme="minorHAnsi" w:hAnsiTheme="minorHAnsi" w:cstheme="minorHAnsi"/>
          <w:sz w:val="20"/>
          <w:szCs w:val="20"/>
        </w:rPr>
      </w:pPr>
      <w:r>
        <w:rPr>
          <w:rFonts w:asciiTheme="minorHAnsi" w:hAnsiTheme="minorHAnsi" w:cstheme="minorHAnsi"/>
          <w:sz w:val="20"/>
          <w:szCs w:val="20"/>
        </w:rPr>
        <w:t>Etablissement scolaire</w:t>
      </w:r>
    </w:p>
    <w:p>
      <w:pPr>
        <w:pStyle w:val="Paragraphedeliste"/>
        <w:numPr>
          <w:ilvl w:val="0"/>
          <w:numId w:val="87"/>
        </w:numPr>
        <w:spacing w:after="120" w:line="276" w:lineRule="auto"/>
        <w:contextualSpacing/>
        <w:jc w:val="both"/>
        <w:rPr>
          <w:rFonts w:asciiTheme="minorHAnsi" w:hAnsiTheme="minorHAnsi" w:cstheme="minorHAnsi"/>
          <w:sz w:val="20"/>
          <w:szCs w:val="20"/>
        </w:rPr>
      </w:pPr>
      <w:r>
        <w:rPr>
          <w:rFonts w:asciiTheme="minorHAnsi" w:hAnsiTheme="minorHAnsi" w:cstheme="minorHAnsi"/>
          <w:sz w:val="20"/>
          <w:szCs w:val="20"/>
        </w:rPr>
        <w:t>Entreprise</w:t>
      </w:r>
    </w:p>
    <w:p>
      <w:pPr>
        <w:pStyle w:val="Paragraphedeliste"/>
        <w:numPr>
          <w:ilvl w:val="0"/>
          <w:numId w:val="87"/>
        </w:numPr>
        <w:spacing w:after="120" w:line="276" w:lineRule="auto"/>
        <w:contextualSpacing/>
        <w:jc w:val="both"/>
        <w:rPr>
          <w:rFonts w:asciiTheme="minorHAnsi" w:hAnsiTheme="minorHAnsi" w:cstheme="minorHAnsi"/>
          <w:sz w:val="20"/>
          <w:szCs w:val="20"/>
        </w:rPr>
      </w:pPr>
      <w:r>
        <w:rPr>
          <w:rFonts w:asciiTheme="minorHAnsi" w:hAnsiTheme="minorHAnsi" w:cstheme="minorHAnsi"/>
          <w:sz w:val="20"/>
          <w:szCs w:val="20"/>
        </w:rPr>
        <w:t>CDR</w:t>
      </w:r>
    </w:p>
    <w:p>
      <w:pPr>
        <w:pStyle w:val="Paragraphedeliste"/>
        <w:numPr>
          <w:ilvl w:val="0"/>
          <w:numId w:val="87"/>
        </w:numPr>
        <w:spacing w:after="120" w:line="276" w:lineRule="auto"/>
        <w:contextualSpacing/>
        <w:jc w:val="both"/>
        <w:rPr>
          <w:rFonts w:asciiTheme="minorHAnsi" w:hAnsiTheme="minorHAnsi" w:cstheme="minorHAnsi"/>
          <w:sz w:val="20"/>
          <w:szCs w:val="20"/>
        </w:rPr>
      </w:pPr>
      <w:r>
        <w:rPr>
          <w:rFonts w:asciiTheme="minorHAnsi" w:hAnsiTheme="minorHAnsi" w:cstheme="minorHAnsi"/>
          <w:sz w:val="20"/>
          <w:szCs w:val="20"/>
        </w:rPr>
        <w:t>CDC</w:t>
      </w:r>
    </w:p>
    <w:p>
      <w:pPr>
        <w:pStyle w:val="Paragraphedeliste"/>
        <w:numPr>
          <w:ilvl w:val="0"/>
          <w:numId w:val="87"/>
        </w:numPr>
        <w:spacing w:after="120" w:line="276" w:lineRule="auto"/>
        <w:contextualSpacing/>
        <w:jc w:val="both"/>
        <w:rPr>
          <w:rFonts w:asciiTheme="minorHAnsi" w:hAnsiTheme="minorHAnsi" w:cstheme="minorHAnsi"/>
          <w:sz w:val="20"/>
          <w:szCs w:val="20"/>
        </w:rPr>
      </w:pPr>
      <w:r>
        <w:rPr>
          <w:rFonts w:asciiTheme="minorHAnsi" w:hAnsiTheme="minorHAnsi" w:cstheme="minorHAnsi"/>
          <w:sz w:val="20"/>
          <w:szCs w:val="20"/>
        </w:rPr>
        <w:t>CTA</w:t>
      </w:r>
    </w:p>
    <w:p>
      <w:pPr>
        <w:pStyle w:val="Paragraphedeliste"/>
        <w:numPr>
          <w:ilvl w:val="0"/>
          <w:numId w:val="87"/>
        </w:numPr>
        <w:spacing w:after="120" w:line="276" w:lineRule="auto"/>
        <w:contextualSpacing/>
        <w:jc w:val="both"/>
        <w:rPr>
          <w:rFonts w:asciiTheme="minorHAnsi" w:hAnsiTheme="minorHAnsi" w:cstheme="minorHAnsi"/>
          <w:sz w:val="20"/>
          <w:szCs w:val="20"/>
        </w:rPr>
      </w:pPr>
      <w:r>
        <w:rPr>
          <w:rFonts w:asciiTheme="minorHAnsi" w:hAnsiTheme="minorHAnsi" w:cstheme="minorHAnsi"/>
          <w:sz w:val="20"/>
          <w:szCs w:val="20"/>
        </w:rPr>
        <w:t>FOREM</w:t>
      </w:r>
    </w:p>
    <w:p>
      <w:pPr>
        <w:pStyle w:val="Paragraphedeliste"/>
        <w:numPr>
          <w:ilvl w:val="0"/>
          <w:numId w:val="87"/>
        </w:numPr>
        <w:spacing w:after="120" w:line="276" w:lineRule="auto"/>
        <w:contextualSpacing/>
        <w:jc w:val="both"/>
        <w:rPr>
          <w:rFonts w:asciiTheme="minorHAnsi" w:hAnsiTheme="minorHAnsi" w:cstheme="minorHAnsi"/>
          <w:sz w:val="20"/>
          <w:szCs w:val="20"/>
        </w:rPr>
      </w:pPr>
      <w:r>
        <w:rPr>
          <w:rFonts w:asciiTheme="minorHAnsi" w:hAnsiTheme="minorHAnsi" w:cstheme="minorHAnsi"/>
          <w:sz w:val="20"/>
          <w:szCs w:val="20"/>
        </w:rPr>
        <w:t>Fonds sectoriel</w:t>
      </w:r>
    </w:p>
    <w:p>
      <w:pPr>
        <w:pStyle w:val="Paragraphedeliste"/>
        <w:numPr>
          <w:ilvl w:val="0"/>
          <w:numId w:val="87"/>
        </w:numPr>
        <w:spacing w:after="120" w:line="276" w:lineRule="auto"/>
        <w:contextualSpacing/>
        <w:jc w:val="both"/>
        <w:rPr>
          <w:rFonts w:asciiTheme="minorHAnsi" w:hAnsiTheme="minorHAnsi" w:cstheme="minorHAnsi"/>
          <w:sz w:val="20"/>
          <w:szCs w:val="20"/>
        </w:rPr>
      </w:pPr>
      <w:r>
        <w:rPr>
          <w:rFonts w:asciiTheme="minorHAnsi" w:hAnsiTheme="minorHAnsi" w:cstheme="minorHAnsi"/>
          <w:sz w:val="20"/>
          <w:szCs w:val="20"/>
        </w:rPr>
        <w:t>Bruxelles Formation</w:t>
      </w:r>
    </w:p>
    <w:p>
      <w:pPr>
        <w:pStyle w:val="Paragraphedeliste"/>
        <w:numPr>
          <w:ilvl w:val="0"/>
          <w:numId w:val="87"/>
        </w:numPr>
        <w:spacing w:after="120" w:line="276" w:lineRule="auto"/>
        <w:contextualSpacing/>
        <w:jc w:val="both"/>
        <w:rPr>
          <w:rFonts w:asciiTheme="minorHAnsi" w:hAnsiTheme="minorHAnsi" w:cstheme="minorHAnsi"/>
          <w:sz w:val="20"/>
          <w:szCs w:val="20"/>
        </w:rPr>
      </w:pPr>
      <w:r>
        <w:rPr>
          <w:rFonts w:asciiTheme="minorHAnsi" w:hAnsiTheme="minorHAnsi" w:cstheme="minorHAnsi"/>
          <w:sz w:val="20"/>
          <w:szCs w:val="20"/>
        </w:rPr>
        <w:t>Autre</w:t>
      </w:r>
    </w:p>
    <w:p>
      <w:pPr>
        <w:spacing w:after="120" w:line="276" w:lineRule="auto"/>
        <w:jc w:val="both"/>
        <w:rPr>
          <w:rFonts w:asciiTheme="minorHAnsi" w:hAnsiTheme="minorHAnsi" w:cstheme="minorHAnsi"/>
        </w:rPr>
      </w:pPr>
      <w:r>
        <w:rPr>
          <w:rFonts w:asciiTheme="minorHAnsi" w:hAnsiTheme="minorHAnsi" w:cstheme="minorHAnsi"/>
          <w:sz w:val="20"/>
          <w:szCs w:val="20"/>
        </w:rPr>
        <w:t>Lorsque vous choisissez « </w:t>
      </w:r>
      <w:r>
        <w:rPr>
          <w:rFonts w:asciiTheme="minorHAnsi" w:hAnsiTheme="minorHAnsi" w:cstheme="minorHAnsi"/>
          <w:b/>
          <w:sz w:val="20"/>
          <w:szCs w:val="20"/>
        </w:rPr>
        <w:t>Autre</w:t>
      </w:r>
      <w:r>
        <w:rPr>
          <w:rFonts w:asciiTheme="minorHAnsi" w:hAnsiTheme="minorHAnsi" w:cstheme="minorHAnsi"/>
          <w:sz w:val="20"/>
          <w:szCs w:val="20"/>
        </w:rPr>
        <w:t> », vous devez préciser qui est cet « autre » (par exemple, l’IFC, la FCC, FORCAR, le CAF, une asbl de formation, etc.). Une cellule d’encodage est prévue à cet effet :</w:t>
      </w:r>
    </w:p>
    <w:p>
      <w:pPr>
        <w:spacing w:after="120" w:line="276" w:lineRule="auto"/>
        <w:rPr>
          <w:rFonts w:asciiTheme="minorHAnsi" w:hAnsiTheme="minorHAnsi" w:cstheme="minorHAnsi"/>
        </w:rPr>
      </w:pPr>
      <w:r>
        <w:rPr>
          <w:rFonts w:asciiTheme="minorHAnsi" w:hAnsiTheme="minorHAnsi" w:cstheme="minorHAnsi"/>
          <w:noProof/>
          <w:lang w:eastAsia="fr-BE"/>
        </w:rPr>
        <mc:AlternateContent>
          <mc:Choice Requires="wps">
            <w:drawing>
              <wp:anchor distT="0" distB="0" distL="114300" distR="114300" simplePos="0" relativeHeight="251705344" behindDoc="0" locked="0" layoutInCell="1" allowOverlap="1">
                <wp:simplePos x="0" y="0"/>
                <wp:positionH relativeFrom="column">
                  <wp:posOffset>2724509</wp:posOffset>
                </wp:positionH>
                <wp:positionV relativeFrom="paragraph">
                  <wp:posOffset>-30066</wp:posOffset>
                </wp:positionV>
                <wp:extent cx="1987716" cy="214685"/>
                <wp:effectExtent l="19050" t="19050" r="12700" b="13970"/>
                <wp:wrapNone/>
                <wp:docPr id="127" name="Ellipse 127"/>
                <wp:cNvGraphicFramePr/>
                <a:graphic xmlns:a="http://schemas.openxmlformats.org/drawingml/2006/main">
                  <a:graphicData uri="http://schemas.microsoft.com/office/word/2010/wordprocessingShape">
                    <wps:wsp>
                      <wps:cNvSpPr/>
                      <wps:spPr>
                        <a:xfrm>
                          <a:off x="0" y="0"/>
                          <a:ext cx="1987716" cy="21468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127" o:spid="_x0000_s1026" style="position:absolute;margin-left:214.55pt;margin-top:-2.35pt;width:156.5pt;height:16.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sc8ngIAAJQFAAAOAAAAZHJzL2Uyb0RvYy54bWysVFFv2yAQfp+0/4B4X21naZNadaqoXaZJ&#10;VVutnfpMMCSWMMeAxMl+/Q6w3air9jAtDw5wd9/xfdzd1fWhVWQvrGtAV7Q4yykRmkPd6E1Ffzyv&#10;Ps0pcZ7pminQoqJH4ej14uOHq86UYgJbULWwBEG0KztT0a33pswyx7eiZe4MjNBolGBb5nFrN1lt&#10;WYforcomeX6RdWBrY4EL5/D0NhnpIuJLKbh/kNIJT1RF8W4+fm38rsM3W1yxcmOZ2Ta8vwb7h1u0&#10;rNGYdIS6ZZ6RnW3+gGobbsGB9Gcc2gykbLiIHJBNkb9h87RlRkQuKI4zo0zu/8Hy+/2jJU2NbzeZ&#10;UaJZi4/0RanGOEHCEQrUGVei35N5tP3O4TKwPUjbhn/kQQ5R1OMoqjh4wvGwuJzPZsUFJRxtk2J6&#10;MT8PoNlrtLHOfxXQkrCoqEjZo5xsf+d88h68Qj4Nq0YpPGel0qSr6Od5kecxwoFq6mANRmc36xtl&#10;yZ7h869WOf763CdueBOl8UKBZiIWV/6oRErwXUhUCKlMUoZQm2KEZZwL7Ytk2rJapGznp8mGiEhb&#10;aQQMyBJvOWL3AINnAhmwkwK9fwgVsbTH4J7634LHiJgZtB+D20aDfY+ZQlZ95uQ/iJSkCSqtoT5i&#10;/VhIjeUMXzX4iHfM+UdmsZOw53A6+Af8SAX4UtCvKNmC/fXeefDHAkcrJR12ZkXdzx2zghL1TWPp&#10;XxbTaWjluJmezya4saeW9alF79obwNcvcA4ZHpfB36thKS20LzhEliErmpjmmLui3Nthc+PTxMAx&#10;xMVyGd2wfQ3zd/rJ8AAeVA0V+nx4Ydb0leyxB+5h6GJWvqnm5BsiNSx3HmQTS/1V115vbP1YOP2Y&#10;CrPldB+9Xofp4jcAAAD//wMAUEsDBBQABgAIAAAAIQABhw6R3AAAAAkBAAAPAAAAZHJzL2Rvd25y&#10;ZXYueG1sTI/BTsMwDIbvSHuHyJO4belKRVlpOm1I3LiwIXHNGreN1jhVk63l7fFOcLT/T78/l7vZ&#10;9eKGY7CeFGzWCQik2htLrYKv0/vqBUSImozuPaGCHwywqxYPpS6Mn+gTb8fYCi6hUGgFXYxDIWWo&#10;O3Q6rP2AxFnjR6cjj2MrzagnLne9TJPkWTptiS90esC3DuvL8eoUHBrZWJtfuuzjNH3n9eFp2+xJ&#10;qcflvH8FEXGOfzDc9VkdKnY6+yuZIHoFWbrdMKpgleUgGMizlBdnBfdAVqX8/0H1CwAA//8DAFBL&#10;AQItABQABgAIAAAAIQC2gziS/gAAAOEBAAATAAAAAAAAAAAAAAAAAAAAAABbQ29udGVudF9UeXBl&#10;c10ueG1sUEsBAi0AFAAGAAgAAAAhADj9If/WAAAAlAEAAAsAAAAAAAAAAAAAAAAALwEAAF9yZWxz&#10;Ly5yZWxzUEsBAi0AFAAGAAgAAAAhAB/2xzyeAgAAlAUAAA4AAAAAAAAAAAAAAAAALgIAAGRycy9l&#10;Mm9Eb2MueG1sUEsBAi0AFAAGAAgAAAAhAAGHDpHcAAAACQEAAA8AAAAAAAAAAAAAAAAA+AQAAGRy&#10;cy9kb3ducmV2LnhtbFBLBQYAAAAABAAEAPMAAAABBgAAAAA=&#10;" filled="f" strokecolor="red" strokeweight="3pt"/>
            </w:pict>
          </mc:Fallback>
        </mc:AlternateContent>
      </w:r>
      <w:r>
        <w:rPr>
          <w:noProof/>
          <w:lang w:eastAsia="fr-BE"/>
        </w:rPr>
        <w:drawing>
          <wp:inline distT="0" distB="0" distL="0" distR="0">
            <wp:extent cx="5754791" cy="930302"/>
            <wp:effectExtent l="19050" t="19050" r="17780" b="22225"/>
            <wp:docPr id="1013" name="Imag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t="11283" b="5992"/>
                    <a:stretch/>
                  </pic:blipFill>
                  <pic:spPr bwMode="auto">
                    <a:xfrm>
                      <a:off x="0" y="0"/>
                      <a:ext cx="5790679" cy="936103"/>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Lorsque vous sélectionnez « </w:t>
      </w:r>
      <w:r>
        <w:rPr>
          <w:rFonts w:asciiTheme="minorHAnsi" w:hAnsiTheme="minorHAnsi" w:cstheme="minorHAnsi"/>
          <w:b/>
          <w:sz w:val="20"/>
          <w:szCs w:val="20"/>
        </w:rPr>
        <w:t>Etablissement scolaire</w:t>
      </w:r>
      <w:r>
        <w:rPr>
          <w:rFonts w:asciiTheme="minorHAnsi" w:hAnsiTheme="minorHAnsi" w:cstheme="minorHAnsi"/>
          <w:sz w:val="20"/>
          <w:szCs w:val="20"/>
        </w:rPr>
        <w:t> », un nouvel encart apparaît. Il vous permet d’encoder l’ensemble des informations concernant le niveau d’étude des étudiants venus se former au sein de votre CTA. Les choix se font au moyen de menus déroulants :</w:t>
      </w:r>
    </w:p>
    <w:p>
      <w:pPr>
        <w:spacing w:after="120" w:line="276" w:lineRule="auto"/>
        <w:rPr>
          <w:rFonts w:asciiTheme="minorHAnsi" w:hAnsiTheme="minorHAnsi" w:cstheme="minorHAnsi"/>
        </w:rPr>
      </w:pPr>
      <w:r>
        <w:rPr>
          <w:noProof/>
          <w:lang w:eastAsia="fr-BE"/>
        </w:rPr>
        <w:drawing>
          <wp:inline distT="0" distB="0" distL="0" distR="0">
            <wp:extent cx="5759450" cy="636105"/>
            <wp:effectExtent l="19050" t="19050" r="12700" b="12065"/>
            <wp:docPr id="1014" name="Imag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92522" cy="639758"/>
                    </a:xfrm>
                    <a:prstGeom prst="rect">
                      <a:avLst/>
                    </a:prstGeom>
                    <a:ln>
                      <a:solidFill>
                        <a:schemeClr val="tx1"/>
                      </a:solidFill>
                    </a:ln>
                  </pic:spPr>
                </pic:pic>
              </a:graphicData>
            </a:graphic>
          </wp:inline>
        </w:drawing>
      </w:r>
    </w:p>
    <w:p>
      <w:pPr>
        <w:pStyle w:val="Paragraphedeliste"/>
        <w:numPr>
          <w:ilvl w:val="2"/>
          <w:numId w:val="90"/>
        </w:numPr>
        <w:spacing w:before="120" w:after="120" w:line="276" w:lineRule="auto"/>
        <w:ind w:left="709"/>
        <w:jc w:val="both"/>
        <w:rPr>
          <w:rFonts w:asciiTheme="minorHAnsi" w:hAnsiTheme="minorHAnsi" w:cstheme="minorHAnsi"/>
          <w:b/>
          <w:i/>
        </w:rPr>
      </w:pPr>
      <w:r>
        <w:rPr>
          <w:rFonts w:asciiTheme="minorHAnsi" w:hAnsiTheme="minorHAnsi" w:cstheme="minorHAnsi"/>
          <w:b/>
          <w:i/>
        </w:rPr>
        <w:t>Facturation</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Dans le cas où les coordonnées de facturation de la formation sont différentes de celles de l’opérateur utilisateur, vous choisissez « OUI » dans le menu déroulant de la cellule « Facturation », puis vous encodez les coordonnées complètes. Dans le cas contraire, vous sélectionnez « NON » et les autres cellules sont automatiquement masquées.</w:t>
      </w:r>
    </w:p>
    <w:p>
      <w:pPr>
        <w:spacing w:line="276" w:lineRule="auto"/>
        <w:rPr>
          <w:rFonts w:asciiTheme="minorHAnsi" w:hAnsiTheme="minorHAnsi" w:cstheme="minorHAnsi"/>
          <w:b/>
        </w:rPr>
      </w:pPr>
      <w:r>
        <w:rPr>
          <w:rFonts w:asciiTheme="minorHAnsi" w:hAnsiTheme="minorHAnsi" w:cstheme="minorHAnsi"/>
          <w:b/>
        </w:rPr>
        <w:br w:type="page"/>
      </w:r>
    </w:p>
    <w:p>
      <w:pPr>
        <w:pStyle w:val="Paragraphedeliste"/>
        <w:numPr>
          <w:ilvl w:val="1"/>
          <w:numId w:val="90"/>
        </w:numPr>
        <w:tabs>
          <w:tab w:val="left" w:pos="426"/>
        </w:tabs>
        <w:spacing w:before="240" w:after="240" w:line="276" w:lineRule="auto"/>
        <w:ind w:left="284" w:hanging="284"/>
        <w:jc w:val="both"/>
        <w:rPr>
          <w:rFonts w:asciiTheme="minorHAnsi" w:hAnsiTheme="minorHAnsi" w:cstheme="minorHAnsi"/>
          <w:b/>
        </w:rPr>
      </w:pPr>
      <w:r>
        <w:rPr>
          <w:rFonts w:asciiTheme="minorHAnsi" w:hAnsiTheme="minorHAnsi" w:cstheme="minorHAnsi"/>
          <w:b/>
        </w:rPr>
        <w:lastRenderedPageBreak/>
        <w:t>Informations complémentaires communes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Dans cet encart, vous devez encoder les coordonnées de la personne de contact et du responsable de direction. Cet encart est commun à tous les types de publics-cibles.</w:t>
      </w:r>
    </w:p>
    <w:p>
      <w:pPr>
        <w:spacing w:after="120" w:line="276" w:lineRule="auto"/>
        <w:rPr>
          <w:rFonts w:asciiTheme="minorHAnsi" w:hAnsiTheme="minorHAnsi" w:cstheme="minorHAnsi"/>
        </w:rPr>
      </w:pPr>
      <w:r>
        <w:rPr>
          <w:noProof/>
          <w:lang w:eastAsia="fr-BE"/>
        </w:rPr>
        <w:drawing>
          <wp:inline distT="0" distB="0" distL="0" distR="0">
            <wp:extent cx="5757190" cy="858741"/>
            <wp:effectExtent l="19050" t="19050" r="15240" b="17780"/>
            <wp:docPr id="1015" name="Imag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t="5918"/>
                    <a:stretch/>
                  </pic:blipFill>
                  <pic:spPr bwMode="auto">
                    <a:xfrm>
                      <a:off x="0" y="0"/>
                      <a:ext cx="5800691" cy="86523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pPr>
        <w:pStyle w:val="Paragraphedeliste"/>
        <w:numPr>
          <w:ilvl w:val="1"/>
          <w:numId w:val="90"/>
        </w:numPr>
        <w:tabs>
          <w:tab w:val="left" w:pos="426"/>
        </w:tabs>
        <w:spacing w:before="240" w:after="240" w:line="276" w:lineRule="auto"/>
        <w:ind w:left="284" w:hanging="284"/>
        <w:jc w:val="both"/>
        <w:rPr>
          <w:rFonts w:asciiTheme="minorHAnsi" w:hAnsiTheme="minorHAnsi" w:cstheme="minorHAnsi"/>
          <w:b/>
        </w:rPr>
      </w:pPr>
      <w:r>
        <w:rPr>
          <w:rFonts w:asciiTheme="minorHAnsi" w:hAnsiTheme="minorHAnsi" w:cstheme="minorHAnsi"/>
          <w:b/>
        </w:rPr>
        <w:t>Formateurs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Vous devez encoder au moins le nom et le prénom d’un formateur :</w:t>
      </w:r>
    </w:p>
    <w:p>
      <w:pPr>
        <w:spacing w:after="120" w:line="276" w:lineRule="auto"/>
        <w:rPr>
          <w:rFonts w:asciiTheme="minorHAnsi" w:hAnsiTheme="minorHAnsi" w:cstheme="minorHAnsi"/>
        </w:rPr>
      </w:pPr>
      <w:r>
        <w:rPr>
          <w:noProof/>
          <w:lang w:eastAsia="fr-BE"/>
        </w:rPr>
        <w:drawing>
          <wp:inline distT="0" distB="0" distL="0" distR="0">
            <wp:extent cx="5757378" cy="826936"/>
            <wp:effectExtent l="19050" t="19050" r="15240" b="11430"/>
            <wp:docPr id="1016" name="Imag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74940" cy="829459"/>
                    </a:xfrm>
                    <a:prstGeom prst="rect">
                      <a:avLst/>
                    </a:prstGeom>
                    <a:ln>
                      <a:solidFill>
                        <a:schemeClr val="tx1"/>
                      </a:solidFill>
                    </a:ln>
                  </pic:spPr>
                </pic:pic>
              </a:graphicData>
            </a:graphic>
          </wp:inline>
        </w:drawing>
      </w:r>
    </w:p>
    <w:p>
      <w:pPr>
        <w:pStyle w:val="Paragraphedeliste"/>
        <w:numPr>
          <w:ilvl w:val="1"/>
          <w:numId w:val="90"/>
        </w:numPr>
        <w:tabs>
          <w:tab w:val="left" w:pos="426"/>
        </w:tabs>
        <w:spacing w:before="240" w:after="240" w:line="276" w:lineRule="auto"/>
        <w:ind w:left="284" w:hanging="284"/>
        <w:jc w:val="both"/>
        <w:rPr>
          <w:rFonts w:asciiTheme="minorHAnsi" w:hAnsiTheme="minorHAnsi" w:cstheme="minorHAnsi"/>
          <w:b/>
        </w:rPr>
      </w:pPr>
      <w:r>
        <w:rPr>
          <w:rFonts w:asciiTheme="minorHAnsi" w:hAnsiTheme="minorHAnsi" w:cstheme="minorHAnsi"/>
          <w:b/>
        </w:rPr>
        <w:t>Période et dates de formation</w:t>
      </w:r>
    </w:p>
    <w:p>
      <w:pPr>
        <w:spacing w:after="120" w:line="276" w:lineRule="auto"/>
        <w:jc w:val="both"/>
        <w:rPr>
          <w:rFonts w:asciiTheme="minorHAnsi" w:hAnsiTheme="minorHAnsi" w:cstheme="minorHAnsi"/>
          <w:b/>
          <w:color w:val="FF0000"/>
          <w:sz w:val="20"/>
          <w:szCs w:val="20"/>
        </w:rPr>
      </w:pPr>
      <w:r>
        <w:rPr>
          <w:rFonts w:asciiTheme="minorHAnsi" w:hAnsiTheme="minorHAnsi" w:cstheme="minorHAnsi"/>
          <w:sz w:val="20"/>
          <w:szCs w:val="20"/>
        </w:rPr>
        <w:t xml:space="preserve">Dans l’encart suivant, vous devez tout d’abord encoder la période de formation, c’est-à-dire la date de début et la date de fin. Attention, ces dates doivent être encodées sous le format suivant : </w:t>
      </w:r>
      <w:r>
        <w:rPr>
          <w:rFonts w:asciiTheme="minorHAnsi" w:hAnsiTheme="minorHAnsi" w:cstheme="minorHAnsi"/>
          <w:b/>
          <w:color w:val="FF0000"/>
          <w:sz w:val="20"/>
          <w:szCs w:val="20"/>
        </w:rPr>
        <w:t>jj/mm/aaaa</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Vous encodez ensuite les différentes dates de formation (jusque 15 dates différentes), toujours sous le même format. De plus, pour chaque date encodée, il convient de préciser si la formation se déroulera le matin (AM), l’après-midi (PM), toute la journée (AM-PM) ou en soirée (soir). Ces renseignements peuvent être encodés manuellement ou sélectionnés via le menu déroulant :</w:t>
      </w:r>
    </w:p>
    <w:p>
      <w:pPr>
        <w:spacing w:after="120" w:line="276" w:lineRule="auto"/>
        <w:jc w:val="center"/>
        <w:rPr>
          <w:rFonts w:asciiTheme="minorHAnsi" w:hAnsiTheme="minorHAnsi" w:cstheme="minorHAnsi"/>
        </w:rPr>
      </w:pPr>
      <w:r>
        <w:rPr>
          <w:noProof/>
          <w:lang w:eastAsia="fr-BE"/>
        </w:rPr>
        <mc:AlternateContent>
          <mc:Choice Requires="wps">
            <w:drawing>
              <wp:anchor distT="0" distB="0" distL="114300" distR="114300" simplePos="0" relativeHeight="251706368" behindDoc="0" locked="0" layoutInCell="1" allowOverlap="1">
                <wp:simplePos x="0" y="0"/>
                <wp:positionH relativeFrom="column">
                  <wp:posOffset>4084513</wp:posOffset>
                </wp:positionH>
                <wp:positionV relativeFrom="paragraph">
                  <wp:posOffset>1051671</wp:posOffset>
                </wp:positionV>
                <wp:extent cx="978010" cy="45719"/>
                <wp:effectExtent l="38100" t="76200" r="0" b="126365"/>
                <wp:wrapNone/>
                <wp:docPr id="992" name="Connecteur droit avec flèche 6"/>
                <wp:cNvGraphicFramePr/>
                <a:graphic xmlns:a="http://schemas.openxmlformats.org/drawingml/2006/main">
                  <a:graphicData uri="http://schemas.microsoft.com/office/word/2010/wordprocessingShape">
                    <wps:wsp>
                      <wps:cNvCnPr/>
                      <wps:spPr>
                        <a:xfrm flipH="1">
                          <a:off x="0" y="0"/>
                          <a:ext cx="978010" cy="45719"/>
                        </a:xfrm>
                        <a:prstGeom prst="straightConnector1">
                          <a:avLst/>
                        </a:prstGeom>
                        <a:noFill/>
                        <a:ln w="571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id="Connecteur droit avec flèche 6" o:spid="_x0000_s1026" type="#_x0000_t32" style="position:absolute;margin-left:321.6pt;margin-top:82.8pt;width:77pt;height:3.6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Uv69AEAALkDAAAOAAAAZHJzL2Uyb0RvYy54bWysU0uO2zAM3RfoHQTtGydBZyYx4swiadpF&#10;0QZoewBGlmwB+oHSxMmNeo9erJTsBtN2NxgvBFIkH8mn583jxRp2lhi1dw1fzOacSSd8q13X8B/f&#10;D+9WnMUErgXjnWz4VUb+uH37ZjOEWi59700rkRGIi/UQGt6nFOqqiqKXFuLMB+koqDxaSORiV7UI&#10;A6FbUy3n8/tq8NgG9ELGSLf7Mci3BV8pKdJXpaJMzDScZkvlxHKe8lltN1B3CKHXYhoDXjCFBe2o&#10;6Q1qDwnYE+r/oKwW6KNXaSa8rbxSWsiyA22zmP+zzbcegiy7EDkx3GiKrwcrvpyPyHTb8PV6yZkD&#10;S4+0884Rc/IJWYteJwZnKZgyv37Ss7D7TNoQYk21O3fEyYvhiJmBi0JLuTp8Ij0UTmhLdimUX2+U&#10;y0tigi7XDyvamzNBofd3D4t1Bq9GlIwWMKaP0luWjYbHhKC7Pk0Tehw7wPlzTGPhn4Jc7PxBG0P3&#10;UBvHhoZTg7vcDEhpykAi0wbaPbqOMzAdSVgkLENHb3Sby3N1xO60M8jOQDI6HOb0TXP+lZZ77yH2&#10;Y14J5TSorU6kcqNtw1e5eNJdAm0+uJalayDWE2pwnZETsnG5UhYNT9tl0keas3Xy7bWwX2WP9FGI&#10;m7ScBfjcJ/v5H7f9DQAA//8DAFBLAwQUAAYACAAAACEAC/MereEAAAALAQAADwAAAGRycy9kb3du&#10;cmV2LnhtbEyPwU7DMBBE70j8g7VI3KjTAEkJcSooggsVUhskrm68TVLidRS7bcrXs5zKcWeeZmfy&#10;+Wg7ccDBt44UTCcRCKTKmZZqBZ/l680MhA+ajO4coYITepgXlxe5zow70goP61ALDiGfaQVNCH0m&#10;pa8atNpPXI/E3tYNVgc+h1qaQR853HYyjqJEWt0Sf2h0j4sGq+/13iooTz/lM7r3RbraffTLr7cX&#10;Ks1Oqeur8ekRRMAxnGH4q8/VoeBOG7cn40WnILm7jRllI7lPQDCRPqSsbFhJ4xnIIpf/NxS/AAAA&#10;//8DAFBLAQItABQABgAIAAAAIQC2gziS/gAAAOEBAAATAAAAAAAAAAAAAAAAAAAAAABbQ29udGVu&#10;dF9UeXBlc10ueG1sUEsBAi0AFAAGAAgAAAAhADj9If/WAAAAlAEAAAsAAAAAAAAAAAAAAAAALwEA&#10;AF9yZWxzLy5yZWxzUEsBAi0AFAAGAAgAAAAhANDVS/r0AQAAuQMAAA4AAAAAAAAAAAAAAAAALgIA&#10;AGRycy9lMm9Eb2MueG1sUEsBAi0AFAAGAAgAAAAhAAvzHq3hAAAACwEAAA8AAAAAAAAAAAAAAAAA&#10;TgQAAGRycy9kb3ducmV2LnhtbFBLBQYAAAAABAAEAPMAAABcBQAAAAA=&#10;" strokecolor="red" strokeweight="4.5pt">
                <v:stroke endarrow="block" joinstyle="miter"/>
              </v:shape>
            </w:pict>
          </mc:Fallback>
        </mc:AlternateContent>
      </w:r>
      <w:r>
        <w:rPr>
          <w:noProof/>
          <w:lang w:eastAsia="fr-BE"/>
        </w:rPr>
        <w:drawing>
          <wp:inline distT="0" distB="0" distL="0" distR="0">
            <wp:extent cx="2362200" cy="1323975"/>
            <wp:effectExtent l="19050" t="19050" r="19050" b="28575"/>
            <wp:docPr id="1017" name="Imag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362200" cy="1323975"/>
                    </a:xfrm>
                    <a:prstGeom prst="rect">
                      <a:avLst/>
                    </a:prstGeom>
                    <a:ln>
                      <a:solidFill>
                        <a:schemeClr val="tx1"/>
                      </a:solidFill>
                    </a:ln>
                  </pic:spPr>
                </pic:pic>
              </a:graphicData>
            </a:graphic>
          </wp:inline>
        </w:drawing>
      </w:r>
    </w:p>
    <w:p>
      <w:pPr>
        <w:spacing w:line="276" w:lineRule="auto"/>
        <w:rPr>
          <w:rFonts w:asciiTheme="minorHAnsi" w:hAnsiTheme="minorHAnsi" w:cstheme="minorHAnsi"/>
          <w:sz w:val="20"/>
          <w:szCs w:val="20"/>
        </w:rPr>
      </w:pPr>
      <w:r>
        <w:rPr>
          <w:rFonts w:asciiTheme="minorHAnsi" w:hAnsiTheme="minorHAnsi" w:cstheme="minorHAnsi"/>
          <w:sz w:val="20"/>
          <w:szCs w:val="20"/>
        </w:rPr>
        <w:br w:type="page"/>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Si lors de l’encodage des différentes dates, vous encodez par erreur une date antérieure ou postérieure à la période de formation renseignée au-dessus, un message d’erreur apparaît :</w:t>
      </w:r>
    </w:p>
    <w:p>
      <w:pPr>
        <w:spacing w:after="120" w:line="276" w:lineRule="auto"/>
        <w:jc w:val="center"/>
        <w:rPr>
          <w:rFonts w:asciiTheme="minorHAnsi" w:hAnsiTheme="minorHAnsi" w:cstheme="minorHAnsi"/>
        </w:rPr>
      </w:pPr>
      <w:r>
        <w:rPr>
          <w:noProof/>
          <w:lang w:eastAsia="fr-BE"/>
        </w:rPr>
        <mc:AlternateContent>
          <mc:Choice Requires="wps">
            <w:drawing>
              <wp:anchor distT="0" distB="0" distL="114300" distR="114300" simplePos="0" relativeHeight="251708416" behindDoc="0" locked="0" layoutInCell="1" allowOverlap="1">
                <wp:simplePos x="0" y="0"/>
                <wp:positionH relativeFrom="column">
                  <wp:posOffset>2821874</wp:posOffset>
                </wp:positionH>
                <wp:positionV relativeFrom="paragraph">
                  <wp:posOffset>78740</wp:posOffset>
                </wp:positionV>
                <wp:extent cx="2018805" cy="563839"/>
                <wp:effectExtent l="19050" t="19050" r="19685" b="27305"/>
                <wp:wrapNone/>
                <wp:docPr id="993" name="Ellipse 993"/>
                <wp:cNvGraphicFramePr/>
                <a:graphic xmlns:a="http://schemas.openxmlformats.org/drawingml/2006/main">
                  <a:graphicData uri="http://schemas.microsoft.com/office/word/2010/wordprocessingShape">
                    <wps:wsp>
                      <wps:cNvSpPr/>
                      <wps:spPr>
                        <a:xfrm>
                          <a:off x="0" y="0"/>
                          <a:ext cx="2018805" cy="563839"/>
                        </a:xfrm>
                        <a:prstGeom prst="ellipse">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993" o:spid="_x0000_s1026" style="position:absolute;margin-left:222.2pt;margin-top:6.2pt;width:158.95pt;height:44.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P41nQIAAJQFAAAOAAAAZHJzL2Uyb0RvYy54bWysVFFv2yAQfp+0/4B4X+00TZtYdaqoXaZJ&#10;1VqtnfpMMMSWMMeAxMl+/Q6w3air9jAtDw5wd9/xfdzd9c2hVWQvrGtAl3RyllMiNIeq0duS/nhe&#10;f5pT4jzTFVOgRUmPwtGb5ccP150pxDnUoCphCYJoV3SmpLX3psgyx2vRMncGRmg0SrAt87i126yy&#10;rEP0VmXneX6ZdWArY4EL5/D0LhnpMuJLKbh/kNIJT1RJ8W4+fm38bsI3W16zYmuZqRveX4P9wy1a&#10;1mhMOkLdMc/IzjZ/QLUNt+BA+jMObQZSNlxEDshmkr9h81QzIyIXFMeZUSb3/2D5t/2jJU1V0sVi&#10;SolmLT7SZ6Ua4wQJRyhQZ1yBfk/m0fY7h8vA9iBtG/6RBzlEUY+jqOLgCcdD5DWf5zNKONpml9P5&#10;dBFAs9doY53/IqAlYVFSkbJHOdn+3vnkPXiFfBrWjVJ4zgqlSVfS6eRqlscIB6qpgjUYnd1ubpUl&#10;e4bPv17n+Otzn7jhTZTGCwWaiVhc+aMSKcF3IVGhQCVlCLUpRljGudB+kkw1q0TKNjtNNkRE2koj&#10;YECWeMsRuwcYPBPIgJ0U6P1DqIilPQb31P8WPEbEzKD9GNw2Gux7zBSy6jMn/0GkJE1QaQPVEevH&#10;QmosZ/i6wUe8Z84/MoudhD2H08E/4EcqwJeCfkVJDfbXe+fBHwscrZR02JkldT93zApK1FeNpb+Y&#10;XFyEVo6bi9nVOW7sqWVzatG79hbw9Sc4hwyPy+Dv1bCUFtoXHCKrkBVNTHPMXVLu7bC59Wli4Bji&#10;YrWKbti+hvl7/WR4AA+qhgp9Prwwa/pK9tgD32DoYla8qebkGyI1rHYeZBNL/VXXXm9s/Vg4/ZgK&#10;s+V0H71eh+nyNwAAAP//AwBQSwMEFAAGAAgAAAAhAFMppnrdAAAACgEAAA8AAABkcnMvZG93bnJl&#10;di54bWxMj8FOwzAMhu9IvEPkSVwQS1e6MZWmE0JCjCODB8ga04Q1TtVkXff2eCfmi2X/v35/rjaT&#10;78SIQ3SBFCzmGQikJhhHrYLvr7eHNYiYNBndBUIFZ4ywqW9vKl2acKJPHHepFRxCsdQKbEp9KWVs&#10;LHod56FHYu0nDF4nHodWmkGfONx3Ms+ylfTaEV+wusdXi81hd/QKtkuzdnh2clz26eM3vhe2vS+U&#10;uptNL88gEk7p3wwXfEaHmpn24Ugmik5BwcVWFnLubHha5Y8g9rzIFjnIupLXL9R/AAAA//8DAFBL&#10;AQItABQABgAIAAAAIQC2gziS/gAAAOEBAAATAAAAAAAAAAAAAAAAAAAAAABbQ29udGVudF9UeXBl&#10;c10ueG1sUEsBAi0AFAAGAAgAAAAhADj9If/WAAAAlAEAAAsAAAAAAAAAAAAAAAAALwEAAF9yZWxz&#10;Ly5yZWxzUEsBAi0AFAAGAAgAAAAhALkc/jWdAgAAlAUAAA4AAAAAAAAAAAAAAAAALgIAAGRycy9l&#10;Mm9Eb2MueG1sUEsBAi0AFAAGAAgAAAAhAFMppnrdAAAACgEAAA8AAAAAAAAAAAAAAAAA9wQAAGRy&#10;cy9kb3ducmV2LnhtbFBLBQYAAAAABAAEAPMAAAABBgAAAAA=&#10;" filled="f" strokecolor="red" strokeweight="2.5pt"/>
            </w:pict>
          </mc:Fallback>
        </mc:AlternateContent>
      </w:r>
      <w:r>
        <w:rPr>
          <w:noProof/>
          <w:lang w:eastAsia="fr-BE"/>
        </w:rPr>
        <w:drawing>
          <wp:inline distT="0" distB="0" distL="0" distR="0">
            <wp:extent cx="3924300" cy="762000"/>
            <wp:effectExtent l="19050" t="19050" r="19050" b="19050"/>
            <wp:docPr id="1018" name="Imag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924300" cy="762000"/>
                    </a:xfrm>
                    <a:prstGeom prst="rect">
                      <a:avLst/>
                    </a:prstGeom>
                    <a:ln>
                      <a:solidFill>
                        <a:schemeClr val="tx1"/>
                      </a:solidFill>
                    </a:ln>
                  </pic:spPr>
                </pic:pic>
              </a:graphicData>
            </a:graphic>
          </wp:inline>
        </w:drawing>
      </w:r>
    </w:p>
    <w:p>
      <w:pPr>
        <w:spacing w:after="120" w:line="276" w:lineRule="auto"/>
        <w:rPr>
          <w:rFonts w:asciiTheme="minorHAnsi" w:hAnsiTheme="minorHAnsi" w:cstheme="minorHAnsi"/>
        </w:rPr>
      </w:pPr>
      <w:r>
        <w:rPr>
          <w:rFonts w:asciiTheme="minorHAnsi" w:hAnsiTheme="minorHAnsi" w:cstheme="minorHAnsi"/>
        </w:rPr>
        <w:t>Si vous ne précisez pas l’horaire de formation, un avertissement s’affiche :</w:t>
      </w:r>
    </w:p>
    <w:p>
      <w:pPr>
        <w:spacing w:line="276" w:lineRule="auto"/>
        <w:jc w:val="center"/>
        <w:rPr>
          <w:rFonts w:asciiTheme="minorHAnsi" w:hAnsiTheme="minorHAnsi" w:cstheme="minorHAnsi"/>
          <w:b/>
        </w:rPr>
      </w:pPr>
      <w:r>
        <w:rPr>
          <w:noProof/>
          <w:lang w:eastAsia="fr-BE"/>
        </w:rPr>
        <mc:AlternateContent>
          <mc:Choice Requires="wps">
            <w:drawing>
              <wp:anchor distT="0" distB="0" distL="114300" distR="114300" simplePos="0" relativeHeight="251709440" behindDoc="0" locked="0" layoutInCell="1" allowOverlap="1">
                <wp:simplePos x="0" y="0"/>
                <wp:positionH relativeFrom="column">
                  <wp:posOffset>2969895</wp:posOffset>
                </wp:positionH>
                <wp:positionV relativeFrom="paragraph">
                  <wp:posOffset>110655</wp:posOffset>
                </wp:positionV>
                <wp:extent cx="2018805" cy="563839"/>
                <wp:effectExtent l="19050" t="19050" r="19685" b="27305"/>
                <wp:wrapNone/>
                <wp:docPr id="994" name="Ellipse 994"/>
                <wp:cNvGraphicFramePr/>
                <a:graphic xmlns:a="http://schemas.openxmlformats.org/drawingml/2006/main">
                  <a:graphicData uri="http://schemas.microsoft.com/office/word/2010/wordprocessingShape">
                    <wps:wsp>
                      <wps:cNvSpPr/>
                      <wps:spPr>
                        <a:xfrm>
                          <a:off x="0" y="0"/>
                          <a:ext cx="2018805" cy="563839"/>
                        </a:xfrm>
                        <a:prstGeom prst="ellipse">
                          <a:avLst/>
                        </a:prstGeom>
                        <a:noFill/>
                        <a:ln w="317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994" o:spid="_x0000_s1026" style="position:absolute;margin-left:233.85pt;margin-top:8.7pt;width:158.95pt;height:44.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NqsagIAAM0EAAAOAAAAZHJzL2Uyb0RvYy54bWysVE1vGjEQvVfqf7B8bxYSSGCVJUJJqSpF&#10;CVJS5Tx4vawl2+PahiX99R17l3y1p6oczIzny+/xhsurg9FsL31QaCs+PhlxJq3AWtltxX88rr7M&#10;OAsRbA0araz4swz8avH502XnSnmKLepaekZNbCg7V/E2RlcWRRCtNBBO0ElLwQa9gUiu3xa1h466&#10;G12cjkbnRYe+dh6FDIFub/ogX+T+TSNFvG+aICPTFae3xXz6fG7SWSwuodx6cK0SwzPgH15hQFka&#10;+tLqBiKwnVd/tDJKeAzYxBOBpsCmUUJmDIRmPPqA5qEFJzMWIie4F5rC/2sr7vZrz1Rd8fl8wpkF&#10;Qz/SV62VC5KlKyKoc6GkvAe39oMXyExoD4036ZtwsEMm9fmFVHmITNAl4ZrNRlPOBMWm52ezs3lq&#10;WrxWOx/iN4mGJaPisp+e6YT9bYh99jErzbO4UlrTPZTasq7iZ+OLKf28AkhCjYZIpnEEKtgtZ6C3&#10;pE0RfW4ZUKs6lafq4Leba+3ZHkgfq9WIPsPj3qWl2TcQ2j4vh1IalEZFkq9WpuKzVHys1jZFZRbg&#10;gCCx2POWrA3Wz0S8x16RwYmVoiG3EOIaPEmQ0NBaxXs6Go0EEQeLsxb9r7/dp3xSBkU560jSBP/n&#10;DrzkTH+3pJn5eDJJO5CdyfTilBz/NrJ5G7E7c43EypgW2Ilspvyoj2bj0TzR9i3TVAqBFTS7J3pw&#10;rmO/arS/Qi6XOY107yDe2gcnUvPEU6L38fAE3g0SiCSeOzzKH8oPMuhzU6XF5S5io7JGXnkleSWH&#10;diYLbdjvtJRv/Zz1+i+0+A0AAP//AwBQSwMEFAAGAAgAAAAhANJLwengAAAACgEAAA8AAABkcnMv&#10;ZG93bnJldi54bWxMj1FLwzAQx98Fv0M4wTeXOmozatMxhMFQBJ0KPmZN1pQ1l9Kka/z2nk/u8e7/&#10;43+/q9bJ9exsxtB5lHC/yIAZbLzusJXw+bG9WwELUaFWvUcj4ccEWNfXV5UqtZ/x3Zz3sWVUgqFU&#10;EmyMQ8l5aKxxKiz8YJCyox+dijSOLdejmqnc9XyZZQV3qkO6YNVgnqxpTvvJSZhmsd292Rf3etrY&#10;r/z5Ox2bXZLy9iZtHoFFk+I/DH/6pA41OR38hDqwXkJeCEEoBSIHRoBYPRTADrTIiiXwuuKXL9S/&#10;AAAA//8DAFBLAQItABQABgAIAAAAIQC2gziS/gAAAOEBAAATAAAAAAAAAAAAAAAAAAAAAABbQ29u&#10;dGVudF9UeXBlc10ueG1sUEsBAi0AFAAGAAgAAAAhADj9If/WAAAAlAEAAAsAAAAAAAAAAAAAAAAA&#10;LwEAAF9yZWxzLy5yZWxzUEsBAi0AFAAGAAgAAAAhAEpY2qxqAgAAzQQAAA4AAAAAAAAAAAAAAAAA&#10;LgIAAGRycy9lMm9Eb2MueG1sUEsBAi0AFAAGAAgAAAAhANJLwengAAAACgEAAA8AAAAAAAAAAAAA&#10;AAAAxAQAAGRycy9kb3ducmV2LnhtbFBLBQYAAAAABAAEAPMAAADRBQAAAAA=&#10;" filled="f" strokecolor="red" strokeweight="2.5pt">
                <v:stroke joinstyle="miter"/>
              </v:oval>
            </w:pict>
          </mc:Fallback>
        </mc:AlternateContent>
      </w:r>
      <w:r>
        <w:rPr>
          <w:noProof/>
          <w:lang w:eastAsia="fr-BE"/>
        </w:rPr>
        <w:drawing>
          <wp:inline distT="0" distB="0" distL="0" distR="0">
            <wp:extent cx="3629025" cy="800100"/>
            <wp:effectExtent l="19050" t="19050" r="28575" b="19050"/>
            <wp:docPr id="1019" name="Imag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629025" cy="800100"/>
                    </a:xfrm>
                    <a:prstGeom prst="rect">
                      <a:avLst/>
                    </a:prstGeom>
                    <a:ln>
                      <a:solidFill>
                        <a:schemeClr val="tx1"/>
                      </a:solidFill>
                    </a:ln>
                  </pic:spPr>
                </pic:pic>
              </a:graphicData>
            </a:graphic>
          </wp:inline>
        </w:drawing>
      </w:r>
    </w:p>
    <w:p>
      <w:pPr>
        <w:pStyle w:val="Paragraphedeliste"/>
        <w:numPr>
          <w:ilvl w:val="1"/>
          <w:numId w:val="90"/>
        </w:numPr>
        <w:tabs>
          <w:tab w:val="left" w:pos="426"/>
        </w:tabs>
        <w:spacing w:before="240" w:after="240" w:line="276" w:lineRule="auto"/>
        <w:ind w:left="284" w:hanging="284"/>
        <w:jc w:val="both"/>
        <w:rPr>
          <w:rFonts w:asciiTheme="minorHAnsi" w:hAnsiTheme="minorHAnsi" w:cstheme="minorHAnsi"/>
          <w:b/>
        </w:rPr>
      </w:pPr>
      <w:r>
        <w:rPr>
          <w:rFonts w:asciiTheme="minorHAnsi" w:hAnsiTheme="minorHAnsi" w:cstheme="minorHAnsi"/>
          <w:b/>
        </w:rPr>
        <w:t>Participants</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Une fois la période de formation précisée, vous pouvez alors encoder dans le fichier les données relatives aux participants (Nom, Prénom, Sexe et Date de Naissance). </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Cette section vous permettra non seulement de renseigner les absences éventuelles des participants au jour le jour, mais également de pouvoir imprimer par la suite les documents suivants :</w:t>
      </w:r>
    </w:p>
    <w:p>
      <w:pPr>
        <w:pStyle w:val="Paragraphedeliste"/>
        <w:numPr>
          <w:ilvl w:val="0"/>
          <w:numId w:val="87"/>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 listes de présences quotidiennes à faire signer par chaque participant (point 6),</w:t>
      </w:r>
    </w:p>
    <w:p>
      <w:pPr>
        <w:pStyle w:val="Paragraphedeliste"/>
        <w:numPr>
          <w:ilvl w:val="0"/>
          <w:numId w:val="87"/>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 éventuelles attestations de fréquentation qui seraient demandées (point 7),</w:t>
      </w:r>
    </w:p>
    <w:p>
      <w:pPr>
        <w:pStyle w:val="Paragraphedeliste"/>
        <w:numPr>
          <w:ilvl w:val="0"/>
          <w:numId w:val="87"/>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 bordereaux de liquidation des subventions (point 8).</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Vous constaterez également qu’il n’est pas nécessaire d’encoder une nouvelle fois les dates et horaires de formation, ceux-ci s’intégrant automatiquement dans le tableau lors de leur encodage dans la section « Période et dates de formation ».</w:t>
      </w:r>
    </w:p>
    <w:p>
      <w:pPr>
        <w:spacing w:after="120" w:line="276" w:lineRule="auto"/>
        <w:jc w:val="center"/>
        <w:rPr>
          <w:rFonts w:asciiTheme="minorHAnsi" w:hAnsiTheme="minorHAnsi" w:cstheme="minorHAnsi"/>
          <w:b/>
        </w:rPr>
      </w:pPr>
      <w:r>
        <w:rPr>
          <w:noProof/>
          <w:lang w:eastAsia="fr-BE"/>
        </w:rPr>
        <mc:AlternateContent>
          <mc:Choice Requires="wps">
            <w:drawing>
              <wp:anchor distT="0" distB="0" distL="114300" distR="114300" simplePos="0" relativeHeight="251711488" behindDoc="0" locked="0" layoutInCell="1" allowOverlap="1">
                <wp:simplePos x="0" y="0"/>
                <wp:positionH relativeFrom="margin">
                  <wp:align>right</wp:align>
                </wp:positionH>
                <wp:positionV relativeFrom="paragraph">
                  <wp:posOffset>206680</wp:posOffset>
                </wp:positionV>
                <wp:extent cx="1151906" cy="563839"/>
                <wp:effectExtent l="19050" t="19050" r="10160" b="27305"/>
                <wp:wrapNone/>
                <wp:docPr id="995" name="Ellipse 995"/>
                <wp:cNvGraphicFramePr/>
                <a:graphic xmlns:a="http://schemas.openxmlformats.org/drawingml/2006/main">
                  <a:graphicData uri="http://schemas.microsoft.com/office/word/2010/wordprocessingShape">
                    <wps:wsp>
                      <wps:cNvSpPr/>
                      <wps:spPr>
                        <a:xfrm>
                          <a:off x="0" y="0"/>
                          <a:ext cx="1151906" cy="563839"/>
                        </a:xfrm>
                        <a:prstGeom prst="ellipse">
                          <a:avLst/>
                        </a:prstGeom>
                        <a:noFill/>
                        <a:ln w="317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995" o:spid="_x0000_s1026" style="position:absolute;margin-left:39.5pt;margin-top:16.25pt;width:90.7pt;height:44.4pt;z-index:2517114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Dw0bAIAAM0EAAAOAAAAZHJzL2Uyb0RvYy54bWysVE1v2zAMvQ/YfxB0Xx23TZsYdYqgXYYB&#10;RVugHXpmZDkWIImapMTpfv0o2enXdhqWg0KKj6T48piLy73RbCd9UGhrXh5NOJNWYKPspuY/Hldf&#10;ZpyFCLYBjVbW/FkGfrn4/Omid5U8xg51Iz2jIjZUvat5F6OriiKIThoIR+ikpWCL3kAk12+KxkNP&#10;1Y0ujieTs6JH3ziPQoZAt9dDkC9y/baVIt61bZCR6ZrT22I+fT7X6SwWF1BtPLhOifEZ8A+vMKAs&#10;NX0pdQ0R2NarP0oZJTwGbOORQFNg2yoh8ww0TTn5MM1DB07mWYic4F5oCv+vrLjd3XummprP51PO&#10;LBj6kb5qrVyQLF0RQb0LFeEe3L0fvUBmmnbfepO+aQ62z6Q+v5Aq95EJuizLaTmfnHEmKDY9O5md&#10;zFPR4jXb+RC/STQsGTWXQ/dMJ+xuQhzQB1TqZ3GltKZ7qLRlfc1PyvMp/bwCSEKthkimcTRUsBvO&#10;QG9ImyL6XDKgVk1KT9nBb9ZX2rMdkD5Wqwl9xse9g6Xe1xC6AZdDCQaVUZHkq5Wp+SwlH7K1TVGZ&#10;BThOkFgceEvWGptnIt7joMjgxEpRkxsI8R48SZCmobWKd3S0GmlEHC3OOvS//naf8KQMinLWk6Rp&#10;/J9b8JIz/d2SZubl6WnageycTs+PyfFvI+u3Ebs1V0islLTATmQz4aM+mK1H80Tbt0xdKQRWUO+B&#10;6NG5isOq0f4KuVxmGOneQbyxD06k4omnRO/j/gm8GyUQSTy3eJA/VB9kMGBTpsXlNmKrskZeeSV5&#10;JYd2Jgtt3O+0lG/9jHr9F1r8BgAA//8DAFBLAwQUAAYACAAAACEAPTCVj98AAAAHAQAADwAAAGRy&#10;cy9kb3ducmV2LnhtbEyPUWvCMBSF3wf7D+EOfJtpq3PSNRURBNkYqNtgj7G5NsXmpjSpzf794tP2&#10;dg/ncM53i1UwLbti7xpLAtJpAgypsqqhWsDnx/ZxCcx5SUq2llDADzpYlfd3hcyVHemA16OvWSwh&#10;l0sB2vsu59xVGo10U9shRe9seyN9lH3NVS/HWG5aniXJghvZUFzQssONxupyHIyAYXze7vb6zbxf&#10;1vpr/vodztUuCDF5COsXYB6D/wvDDT+iQxmZTnYg5VgrID7iBcyyJ2A3d5nOgZ3ikaUz4GXB//OX&#10;vwAAAP//AwBQSwECLQAUAAYACAAAACEAtoM4kv4AAADhAQAAEwAAAAAAAAAAAAAAAAAAAAAAW0Nv&#10;bnRlbnRfVHlwZXNdLnhtbFBLAQItABQABgAIAAAAIQA4/SH/1gAAAJQBAAALAAAAAAAAAAAAAAAA&#10;AC8BAABfcmVscy8ucmVsc1BLAQItABQABgAIAAAAIQDy6Dw0bAIAAM0EAAAOAAAAAAAAAAAAAAAA&#10;AC4CAABkcnMvZTJvRG9jLnhtbFBLAQItABQABgAIAAAAIQA9MJWP3wAAAAcBAAAPAAAAAAAAAAAA&#10;AAAAAMYEAABkcnMvZG93bnJldi54bWxQSwUGAAAAAAQABADzAAAA0gUAAAAA&#10;" filled="f" strokecolor="red" strokeweight="2.5pt">
                <v:stroke joinstyle="miter"/>
                <w10:wrap anchorx="margin"/>
              </v:oval>
            </w:pict>
          </mc:Fallback>
        </mc:AlternateContent>
      </w:r>
      <w:r>
        <w:rPr>
          <w:noProof/>
          <w:lang w:eastAsia="fr-BE"/>
        </w:rPr>
        <w:drawing>
          <wp:inline distT="0" distB="0" distL="0" distR="0">
            <wp:extent cx="5759450" cy="967740"/>
            <wp:effectExtent l="19050" t="19050" r="12700" b="22860"/>
            <wp:docPr id="1023" name="Imag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59450" cy="967740"/>
                    </a:xfrm>
                    <a:prstGeom prst="rect">
                      <a:avLst/>
                    </a:prstGeom>
                    <a:ln>
                      <a:solidFill>
                        <a:schemeClr val="tx1"/>
                      </a:solidFill>
                    </a:ln>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Les noms, prénoms, et dates de naissance des participants doivent être encodés manuellement. Vous pouvez également copier/coller ces informations. Le sexe des participants peut être sélectionné via un menu déroulant ou encodé manuellement.</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Vous remarquerez qu’une colonne est noircie. Celle-ci n’est débloquée que lorsque le public-cible sélectionné est « Enseignants ». Dans ce cas uniquement, vous devrez compléter la colonne intitulée « ECOLE ORIGINE FASE ». Il s’agit d’inscrire le numéro Fase de l’établissement dont provient l’enseignant. Pour rappel, vous pouvez effectuer une recherche grâce à une liste Excel intitulée « ETABLISSEMENTS » (cf point 4.5.2).</w:t>
      </w:r>
    </w:p>
    <w:p>
      <w:pPr>
        <w:spacing w:after="120" w:line="276" w:lineRule="auto"/>
        <w:rPr>
          <w:rFonts w:asciiTheme="minorHAnsi" w:hAnsiTheme="minorHAnsi" w:cstheme="minorHAnsi"/>
          <w:b/>
        </w:rPr>
      </w:pPr>
      <w:r>
        <w:rPr>
          <w:noProof/>
          <w:lang w:eastAsia="fr-BE"/>
        </w:rPr>
        <mc:AlternateContent>
          <mc:Choice Requires="wps">
            <w:drawing>
              <wp:anchor distT="0" distB="0" distL="114300" distR="114300" simplePos="0" relativeHeight="251710464" behindDoc="0" locked="0" layoutInCell="1" allowOverlap="1">
                <wp:simplePos x="0" y="0"/>
                <wp:positionH relativeFrom="column">
                  <wp:posOffset>4105019</wp:posOffset>
                </wp:positionH>
                <wp:positionV relativeFrom="paragraph">
                  <wp:posOffset>7628</wp:posOffset>
                </wp:positionV>
                <wp:extent cx="706582" cy="955552"/>
                <wp:effectExtent l="19050" t="19050" r="17780" b="16510"/>
                <wp:wrapNone/>
                <wp:docPr id="996" name="Ellipse 996"/>
                <wp:cNvGraphicFramePr/>
                <a:graphic xmlns:a="http://schemas.openxmlformats.org/drawingml/2006/main">
                  <a:graphicData uri="http://schemas.microsoft.com/office/word/2010/wordprocessingShape">
                    <wps:wsp>
                      <wps:cNvSpPr/>
                      <wps:spPr>
                        <a:xfrm>
                          <a:off x="0" y="0"/>
                          <a:ext cx="706582" cy="955552"/>
                        </a:xfrm>
                        <a:prstGeom prst="ellipse">
                          <a:avLst/>
                        </a:prstGeom>
                        <a:noFill/>
                        <a:ln w="317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996" o:spid="_x0000_s1026" style="position:absolute;margin-left:323.25pt;margin-top:.6pt;width:55.65pt;height:75.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oqanAIAAJMFAAAOAAAAZHJzL2Uyb0RvYy54bWysVMFu2zAMvQ/YPwi6r3aypm2MOkXQLsOA&#10;og3WDj0rshQbkEVNUuJkXz9Kst2gK3YY5oNMieSj+ETy+ubQKrIX1jWgSzo5yykRmkPV6G1Jfzyv&#10;Pl1R4jzTFVOgRUmPwtGbxccP150pxBRqUJWwBEG0KzpT0tp7U2SZ47VomTsDIzQqJdiWedzabVZZ&#10;1iF6q7Jpnl9kHdjKWODCOTy9S0q6iPhSCu4fpXTCE1VSvJuPq43rJqzZ4poVW8tM3fD+GuwfbtGy&#10;RmPQEeqOeUZ2tvkDqm24BQfSn3FoM5Cy4SLmgNlM8jfZPNXMiJgLkuPMSJP7f7D8Yb+2pKlKOp9f&#10;UKJZi4/0RanGOEHCERLUGVeg3ZNZ237nUAzZHqRtwx/zIIdI6nEkVRw84Xh4mV/MrqaUcFTNZ/hN&#10;A2b26mys818FtCQIJRUpeGST7e+dT9aDVQinYdUoheesUJp0Jf08uZzl0cOBaqqgDUpnt5tbZcme&#10;4euvVjl+fewTM7yJ0nihkGXKK0r+qEQK8F1IJAgzmaYIoTTFCMs4F9pPkqpmlUjRZqfBBo+YttII&#10;GJAl3nLE7gEGywQyYCcGevvgKmJlj8596n9zHj1iZNB+dG4bDfa9zBRm1UdO9gNJiZrA0gaqI5aP&#10;hdRXzvBVg494z5xfM4uNhC2Hw8E/4iIV4EtBL1FSg/313nmwx/pGLSUdNmZJ3c8ds4IS9U1j5c8n&#10;5+ehk+PmfHY5xY091WxONXrX3gK+/gTHkOFRDPZeDaK00L7gDFmGqKhimmPsknJvh82tTwMDpxAX&#10;y2U0w+41zN/rJ8MDeGA1VOjz4YVZ01eyxxZ4gKGJWfGmmpNt8NSw3HmQTSz1V157vrHzY+H0UyqM&#10;ltN9tHqdpYvfAAAA//8DAFBLAwQUAAYACAAAACEAKMj939sAAAAJAQAADwAAAGRycy9kb3ducmV2&#10;LnhtbEyPy07DMBBF90j8gzVIbBB1WuVRhTgVQkLAkpYPcOMhNsTjKHbT9O8ZVrC8Olf30ewWP4gZ&#10;p+gCKVivMhBIXTCOegUfh+f7LYiYNBk9BEIFF4ywa6+vGl2bcKZ3nPepFxxCsdYKbEpjLWXsLHod&#10;V2FEYvYZJq8Ty6mXZtJnDveD3GRZKb12xA1Wj/hksfven7yC18JsHV6cnIsxvX3Fl9z2d7lStzfL&#10;4wOIhEv6M8PvfJ4OLW86hhOZKAYFZV4WbGWwAcG8Kiq+cmRdrCuQbSP/P2h/AAAA//8DAFBLAQIt&#10;ABQABgAIAAAAIQC2gziS/gAAAOEBAAATAAAAAAAAAAAAAAAAAAAAAABbQ29udGVudF9UeXBlc10u&#10;eG1sUEsBAi0AFAAGAAgAAAAhADj9If/WAAAAlAEAAAsAAAAAAAAAAAAAAAAALwEAAF9yZWxzLy5y&#10;ZWxzUEsBAi0AFAAGAAgAAAAhAGkGipqcAgAAkwUAAA4AAAAAAAAAAAAAAAAALgIAAGRycy9lMm9E&#10;b2MueG1sUEsBAi0AFAAGAAgAAAAhACjI/d/bAAAACQEAAA8AAAAAAAAAAAAAAAAA9gQAAGRycy9k&#10;b3ducmV2LnhtbFBLBQYAAAAABAAEAPMAAAD+BQAAAAA=&#10;" filled="f" strokecolor="red" strokeweight="2.5pt"/>
            </w:pict>
          </mc:Fallback>
        </mc:AlternateContent>
      </w:r>
      <w:r>
        <w:rPr>
          <w:noProof/>
          <w:lang w:eastAsia="fr-BE"/>
        </w:rPr>
        <w:drawing>
          <wp:inline distT="0" distB="0" distL="0" distR="0">
            <wp:extent cx="5759450" cy="830580"/>
            <wp:effectExtent l="19050" t="19050" r="12700" b="26670"/>
            <wp:docPr id="1042" name="Imag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59450" cy="830580"/>
                    </a:xfrm>
                    <a:prstGeom prst="rect">
                      <a:avLst/>
                    </a:prstGeom>
                    <a:ln>
                      <a:solidFill>
                        <a:schemeClr val="tx1"/>
                      </a:solidFill>
                    </a:ln>
                  </pic:spPr>
                </pic:pic>
              </a:graphicData>
            </a:graphic>
          </wp:inline>
        </w:drawing>
      </w:r>
    </w:p>
    <w:p>
      <w:pPr>
        <w:spacing w:after="120" w:line="276" w:lineRule="auto"/>
        <w:jc w:val="both"/>
        <w:rPr>
          <w:rFonts w:asciiTheme="minorHAnsi" w:hAnsiTheme="minorHAnsi" w:cstheme="minorHAnsi"/>
          <w:sz w:val="20"/>
          <w:szCs w:val="20"/>
        </w:rPr>
      </w:pPr>
      <w:bookmarkStart w:id="30" w:name="_Toc291841809"/>
      <w:bookmarkStart w:id="31" w:name="_Toc291841942"/>
      <w:bookmarkStart w:id="32" w:name="_Toc291842562"/>
      <w:bookmarkStart w:id="33" w:name="_Toc333502563"/>
      <w:r>
        <w:rPr>
          <w:rFonts w:asciiTheme="minorHAnsi" w:hAnsiTheme="minorHAnsi" w:cstheme="minorHAnsi"/>
          <w:sz w:val="20"/>
          <w:szCs w:val="20"/>
        </w:rPr>
        <w:lastRenderedPageBreak/>
        <w:t>Une fois les données des participants encodées, vous devez alors encoder leurs présences. Les présences et absences éventuelles des participants seront renseignées dans le tableau selon le code suivant : « 1 » pour les présences et « 0 » pour les absences. Elles pourront être soit encodées manuellement, soit sélectionnées via le menu déroulant.</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Une fois les participants et leurs présences/absences encodées, le tableau se présente comme suit :</w:t>
      </w:r>
    </w:p>
    <w:p>
      <w:pPr>
        <w:spacing w:after="120" w:line="276" w:lineRule="auto"/>
        <w:rPr>
          <w:rFonts w:asciiTheme="minorHAnsi" w:hAnsiTheme="minorHAnsi" w:cstheme="minorHAnsi"/>
        </w:rPr>
      </w:pPr>
      <w:r>
        <w:rPr>
          <w:noProof/>
          <w:lang w:eastAsia="fr-BE"/>
        </w:rPr>
        <mc:AlternateContent>
          <mc:Choice Requires="wps">
            <w:drawing>
              <wp:anchor distT="0" distB="0" distL="114300" distR="114300" simplePos="0" relativeHeight="251712512" behindDoc="0" locked="0" layoutInCell="1" allowOverlap="1">
                <wp:simplePos x="0" y="0"/>
                <wp:positionH relativeFrom="column">
                  <wp:posOffset>5470682</wp:posOffset>
                </wp:positionH>
                <wp:positionV relativeFrom="paragraph">
                  <wp:posOffset>3368099</wp:posOffset>
                </wp:positionV>
                <wp:extent cx="314696" cy="225524"/>
                <wp:effectExtent l="0" t="0" r="28575" b="22225"/>
                <wp:wrapNone/>
                <wp:docPr id="997" name="Ellipse 997"/>
                <wp:cNvGraphicFramePr/>
                <a:graphic xmlns:a="http://schemas.openxmlformats.org/drawingml/2006/main">
                  <a:graphicData uri="http://schemas.microsoft.com/office/word/2010/wordprocessingShape">
                    <wps:wsp>
                      <wps:cNvSpPr/>
                      <wps:spPr>
                        <a:xfrm>
                          <a:off x="0" y="0"/>
                          <a:ext cx="314696" cy="225524"/>
                        </a:xfrm>
                        <a:prstGeom prst="ellipse">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Ellipse 997" o:spid="_x0000_s1026" style="position:absolute;margin-left:430.75pt;margin-top:265.2pt;width:24.8pt;height:17.75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cMonAIAAJMFAAAOAAAAZHJzL2Uyb0RvYy54bWysVFFv2yAQfp+0/4B4X+14SdtYdaqoXaZJ&#10;VVutnfpMMCSWMMeAxMl+/Q6w3air9jAtDw5wd9/xfdzd1fWhVWQvrGtAV3RyllMiNIe60ZuK/nhe&#10;fbqkxHmma6ZAi4oehaPXi48frjpTigK2oGphCYJoV3amolvvTZlljm9Fy9wZGKHRKMG2zOPWbrLa&#10;sg7RW5UVeX6edWBrY4EL5/D0NhnpIuJLKbh/kNIJT1RF8W4+fm38rsM3W1yxcmOZ2Ta8vwb7h1u0&#10;rNGYdIS6ZZ6RnW3+gGobbsGB9Gcc2gykbLiIHJDNJH/D5mnLjIhcUBxnRpnc/4Pl9/tHS5q6ovP5&#10;BSWatfhIX5RqjBMkHKFAnXEl+j2ZR9vvHC4D24O0bfhHHuQQRT2OooqDJxwPP0+m5/NzSjiaimI2&#10;K6YBM3sNNtb5rwJaEhYVFSl5VJPt75xP3oNXSKdh1SiF56xUmnSIO5vmeYxwoJo6WIPR2c36Rlmy&#10;Z/j6q1WOvz73iRveRGm8UGCZeMWVPyqREnwXEgVCJkXKEEpTjLCMc6H9JJm2rBYp2+w02RARaSuN&#10;gAFZ4i1H7B5g8EwgA3ZSoPcPoSJW9hjcU/9b8BgRM4P2Y3DbaLDvMVPIqs+c/AeRkjRBpTXURywf&#10;C6mvnOGrBh/xjjn/yCw2ErYcDgf/gB+pAF8K+hUlW7C/3jsP/ljfaKWkw8asqPu5Y1ZQor5prPz5&#10;ZDoNnRw309lFgRt7almfWvSuvQF8/QmOIcPjMvh7NSylhfYFZ8gyZEUT0xxzV5R7O2xufBoYOIW4&#10;WC6jG3avYf5OPxkewIOqoUKfDy/Mmr6SPbbAPQxNzMo31Zx8Q6SG5c6DbGKpv+ra642dHwunn1Jh&#10;tJzuo9frLF38BgAA//8DAFBLAwQUAAYACAAAACEAngtTIOAAAAALAQAADwAAAGRycy9kb3ducmV2&#10;LnhtbEyPwU7DMAyG70i8Q2QkbixNWaqtazqxSRyAEwPtnDVZWy1xqibbCk+POcHR9qf//1ytJ+/Y&#10;xY6xD6hAzDJgFptgemwVfH48PyyAxaTRaBfQKviyEdb17U2lSxOu+G4vu9QyCsFYagVdSkPJeWw6&#10;63WchcEi3Y5h9DrROLbcjPpK4d7xPMsK7nWP1NDpwW4725x2Z0+9b5t5nu/zjTy57+2rPsrBhBel&#10;7u+mpxWwZKf0B8OvPqlDTU6HcEYTmVOwKIQkVIF8zObAiFgKIYAdaFPIJfC64v9/qH8AAAD//wMA&#10;UEsBAi0AFAAGAAgAAAAhALaDOJL+AAAA4QEAABMAAAAAAAAAAAAAAAAAAAAAAFtDb250ZW50X1R5&#10;cGVzXS54bWxQSwECLQAUAAYACAAAACEAOP0h/9YAAACUAQAACwAAAAAAAAAAAAAAAAAvAQAAX3Jl&#10;bHMvLnJlbHNQSwECLQAUAAYACAAAACEAd3XDKJwCAACTBQAADgAAAAAAAAAAAAAAAAAuAgAAZHJz&#10;L2Uyb0RvYy54bWxQSwECLQAUAAYACAAAACEAngtTIOAAAAALAQAADwAAAAAAAAAAAAAAAAD2BAAA&#10;ZHJzL2Rvd25yZXYueG1sUEsFBgAAAAAEAAQA8wAAAAMGAAAAAA==&#10;" filled="f" strokecolor="red" strokeweight="2pt"/>
            </w:pict>
          </mc:Fallback>
        </mc:AlternateContent>
      </w:r>
      <w:r>
        <w:rPr>
          <w:noProof/>
          <w:lang w:eastAsia="fr-BE"/>
        </w:rPr>
        <w:drawing>
          <wp:inline distT="0" distB="0" distL="0" distR="0">
            <wp:extent cx="5759450" cy="3574473"/>
            <wp:effectExtent l="19050" t="19050" r="12700" b="26035"/>
            <wp:docPr id="1043" name="Imag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65658" cy="3578326"/>
                    </a:xfrm>
                    <a:prstGeom prst="rect">
                      <a:avLst/>
                    </a:prstGeom>
                    <a:ln>
                      <a:solidFill>
                        <a:schemeClr val="tx1"/>
                      </a:solidFill>
                    </a:ln>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Le formulaire calcule le nombre de demi-jours automatiquement tant part ligne que par colonne. Le nombre total de demi-jours est indiqué en vert.</w:t>
      </w:r>
    </w:p>
    <w:p>
      <w:pPr>
        <w:spacing w:line="276" w:lineRule="auto"/>
        <w:rPr>
          <w:rFonts w:asciiTheme="minorHAnsi" w:hAnsiTheme="minorHAnsi" w:cstheme="minorHAnsi"/>
          <w:b/>
          <w:bCs/>
          <w:caps/>
          <w:kern w:val="32"/>
        </w:rPr>
      </w:pPr>
      <w:r>
        <w:rPr>
          <w:rFonts w:asciiTheme="minorHAnsi" w:hAnsiTheme="minorHAnsi" w:cstheme="minorHAnsi"/>
          <w:bCs/>
        </w:rPr>
        <w:br w:type="page"/>
      </w:r>
    </w:p>
    <w:p>
      <w:pPr>
        <w:pStyle w:val="Titre1"/>
        <w:numPr>
          <w:ilvl w:val="0"/>
          <w:numId w:val="90"/>
        </w:numPr>
        <w:spacing w:after="240" w:line="276" w:lineRule="auto"/>
        <w:ind w:left="357" w:hanging="357"/>
        <w:jc w:val="both"/>
        <w:rPr>
          <w:rFonts w:asciiTheme="minorHAnsi" w:hAnsiTheme="minorHAnsi" w:cstheme="minorHAnsi"/>
          <w:caps/>
          <w:sz w:val="28"/>
          <w:szCs w:val="28"/>
          <w:u w:val="single"/>
        </w:rPr>
      </w:pPr>
      <w:r>
        <w:rPr>
          <w:rFonts w:asciiTheme="minorHAnsi" w:hAnsiTheme="minorHAnsi" w:cstheme="minorHAnsi"/>
          <w:caps/>
          <w:sz w:val="28"/>
          <w:szCs w:val="28"/>
          <w:u w:val="single"/>
        </w:rPr>
        <w:lastRenderedPageBreak/>
        <w:t>Liste de présences</w:t>
      </w:r>
    </w:p>
    <w:p>
      <w:pPr>
        <w:spacing w:after="120" w:line="276" w:lineRule="auto"/>
        <w:rPr>
          <w:rFonts w:asciiTheme="minorHAnsi" w:hAnsiTheme="minorHAnsi" w:cstheme="minorHAnsi"/>
          <w:sz w:val="20"/>
          <w:szCs w:val="20"/>
        </w:rPr>
      </w:pPr>
      <w:r>
        <w:rPr>
          <w:rFonts w:asciiTheme="minorHAnsi" w:hAnsiTheme="minorHAnsi" w:cstheme="minorHAnsi"/>
          <w:sz w:val="20"/>
          <w:szCs w:val="20"/>
        </w:rPr>
        <w:t>Les données encodées dans le formulaire permettent de générer divers documents dont un modèle de liste de présences à faire signer journellement par chaque participant. Ce document se présente comme suit :</w:t>
      </w:r>
    </w:p>
    <w:p>
      <w:pPr>
        <w:spacing w:after="120" w:line="276" w:lineRule="auto"/>
        <w:jc w:val="center"/>
        <w:rPr>
          <w:rFonts w:asciiTheme="minorHAnsi" w:hAnsiTheme="minorHAnsi" w:cstheme="minorHAnsi"/>
        </w:rPr>
      </w:pPr>
      <w:r>
        <w:rPr>
          <w:noProof/>
          <w:lang w:eastAsia="fr-BE"/>
        </w:rPr>
        <w:drawing>
          <wp:inline distT="0" distB="0" distL="0" distR="0">
            <wp:extent cx="4604400" cy="2012400"/>
            <wp:effectExtent l="19050" t="19050" r="24765" b="26035"/>
            <wp:docPr id="1044" name="Imag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604400" cy="2012400"/>
                    </a:xfrm>
                    <a:prstGeom prst="rect">
                      <a:avLst/>
                    </a:prstGeom>
                    <a:ln>
                      <a:solidFill>
                        <a:schemeClr val="tx1"/>
                      </a:solidFill>
                    </a:ln>
                  </pic:spPr>
                </pic:pic>
              </a:graphicData>
            </a:graphic>
          </wp:inline>
        </w:drawing>
      </w:r>
    </w:p>
    <w:p>
      <w:pPr>
        <w:pStyle w:val="Titre1"/>
        <w:numPr>
          <w:ilvl w:val="0"/>
          <w:numId w:val="90"/>
        </w:numPr>
        <w:spacing w:after="240" w:line="276" w:lineRule="auto"/>
        <w:ind w:left="357" w:hanging="357"/>
        <w:jc w:val="both"/>
        <w:rPr>
          <w:rFonts w:asciiTheme="minorHAnsi" w:hAnsiTheme="minorHAnsi" w:cstheme="minorHAnsi"/>
          <w:caps/>
          <w:sz w:val="28"/>
          <w:szCs w:val="28"/>
          <w:u w:val="single"/>
        </w:rPr>
      </w:pPr>
      <w:r>
        <w:rPr>
          <w:rFonts w:asciiTheme="minorHAnsi" w:hAnsiTheme="minorHAnsi" w:cstheme="minorHAnsi"/>
          <w:caps/>
          <w:sz w:val="28"/>
          <w:szCs w:val="28"/>
          <w:u w:val="single"/>
        </w:rPr>
        <w:t>Attestation de fréquentation</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Un autre document généré par l’encodage des données est l’attestation de fréquentation. Celle-ci se présente comme suit :</w:t>
      </w:r>
    </w:p>
    <w:p>
      <w:pPr>
        <w:spacing w:after="120" w:line="276" w:lineRule="auto"/>
        <w:jc w:val="center"/>
        <w:rPr>
          <w:rFonts w:asciiTheme="minorHAnsi" w:hAnsiTheme="minorHAnsi" w:cstheme="minorHAnsi"/>
        </w:rPr>
      </w:pPr>
      <w:r>
        <w:rPr>
          <w:noProof/>
          <w:lang w:eastAsia="fr-BE"/>
        </w:rPr>
        <w:drawing>
          <wp:inline distT="0" distB="0" distL="0" distR="0">
            <wp:extent cx="3970800" cy="3625200"/>
            <wp:effectExtent l="19050" t="19050" r="10795" b="13970"/>
            <wp:docPr id="1045" name="Imag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970800" cy="3625200"/>
                    </a:xfrm>
                    <a:prstGeom prst="rect">
                      <a:avLst/>
                    </a:prstGeom>
                    <a:ln>
                      <a:solidFill>
                        <a:schemeClr val="tx1"/>
                      </a:solidFill>
                    </a:ln>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Vous remarquerez que ce document précise désormais les dates auxquelles le participant était présent et non plus seulement la période de formation.</w:t>
      </w:r>
    </w:p>
    <w:p>
      <w:pPr>
        <w:spacing w:line="276" w:lineRule="auto"/>
        <w:rPr>
          <w:rFonts w:asciiTheme="minorHAnsi" w:hAnsiTheme="minorHAnsi" w:cstheme="minorHAnsi"/>
          <w:sz w:val="20"/>
          <w:szCs w:val="20"/>
        </w:rPr>
      </w:pPr>
      <w:r>
        <w:rPr>
          <w:rFonts w:asciiTheme="minorHAnsi" w:hAnsiTheme="minorHAnsi" w:cstheme="minorHAnsi"/>
          <w:sz w:val="20"/>
          <w:szCs w:val="20"/>
        </w:rPr>
        <w:br w:type="page"/>
      </w:r>
    </w:p>
    <w:p>
      <w:pPr>
        <w:pStyle w:val="Titre1"/>
        <w:numPr>
          <w:ilvl w:val="0"/>
          <w:numId w:val="90"/>
        </w:numPr>
        <w:spacing w:after="240" w:line="276" w:lineRule="auto"/>
        <w:ind w:left="357" w:hanging="357"/>
        <w:jc w:val="both"/>
        <w:rPr>
          <w:rFonts w:asciiTheme="minorHAnsi" w:hAnsiTheme="minorHAnsi" w:cstheme="minorHAnsi"/>
          <w:caps/>
          <w:sz w:val="28"/>
          <w:szCs w:val="28"/>
          <w:u w:val="single"/>
        </w:rPr>
      </w:pPr>
      <w:r>
        <w:rPr>
          <w:rFonts w:asciiTheme="minorHAnsi" w:hAnsiTheme="minorHAnsi" w:cstheme="minorHAnsi"/>
          <w:caps/>
          <w:sz w:val="28"/>
          <w:szCs w:val="28"/>
          <w:u w:val="single"/>
        </w:rPr>
        <w:lastRenderedPageBreak/>
        <w:t>Bordereau récapitulatif</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Un autre document généré par l’encodage des données est le bordereau récapitulatif à faire signer par votre direction. Celui-ci-ci se présente comme suit :</w:t>
      </w:r>
    </w:p>
    <w:p>
      <w:pPr>
        <w:spacing w:after="120" w:line="276" w:lineRule="auto"/>
        <w:jc w:val="center"/>
        <w:rPr>
          <w:rFonts w:asciiTheme="minorHAnsi" w:hAnsiTheme="minorHAnsi" w:cstheme="minorHAnsi"/>
        </w:rPr>
      </w:pPr>
      <w:r>
        <w:rPr>
          <w:noProof/>
          <w:lang w:eastAsia="fr-BE"/>
        </w:rPr>
        <w:drawing>
          <wp:inline distT="0" distB="0" distL="0" distR="0">
            <wp:extent cx="4364182" cy="6846259"/>
            <wp:effectExtent l="19050" t="19050" r="17780" b="12065"/>
            <wp:docPr id="1046" name="Imag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369387" cy="6854424"/>
                    </a:xfrm>
                    <a:prstGeom prst="rect">
                      <a:avLst/>
                    </a:prstGeom>
                    <a:ln>
                      <a:solidFill>
                        <a:schemeClr val="tx1"/>
                      </a:solidFill>
                    </a:ln>
                  </pic:spPr>
                </pic:pic>
              </a:graphicData>
            </a:graphic>
          </wp:inline>
        </w:drawing>
      </w:r>
    </w:p>
    <w:p>
      <w:pPr>
        <w:spacing w:after="120" w:line="276" w:lineRule="auto"/>
        <w:rPr>
          <w:rFonts w:asciiTheme="minorHAnsi" w:hAnsiTheme="minorHAnsi" w:cstheme="minorHAnsi"/>
          <w:b/>
        </w:rPr>
      </w:pPr>
      <w:r>
        <w:rPr>
          <w:rFonts w:asciiTheme="minorHAnsi" w:hAnsiTheme="minorHAnsi" w:cstheme="minorHAnsi"/>
          <w:b/>
        </w:rPr>
        <w:br w:type="page"/>
      </w:r>
    </w:p>
    <w:p>
      <w:pPr>
        <w:pStyle w:val="Titre1"/>
        <w:numPr>
          <w:ilvl w:val="0"/>
          <w:numId w:val="90"/>
        </w:numPr>
        <w:spacing w:after="240" w:line="276" w:lineRule="auto"/>
        <w:ind w:left="357" w:hanging="357"/>
        <w:jc w:val="both"/>
        <w:rPr>
          <w:rFonts w:asciiTheme="minorHAnsi" w:hAnsiTheme="minorHAnsi" w:cstheme="minorHAnsi"/>
          <w:caps/>
          <w:sz w:val="28"/>
          <w:szCs w:val="28"/>
          <w:u w:val="single"/>
        </w:rPr>
      </w:pPr>
      <w:r>
        <w:rPr>
          <w:rFonts w:asciiTheme="minorHAnsi" w:hAnsiTheme="minorHAnsi" w:cstheme="minorHAnsi"/>
          <w:caps/>
          <w:sz w:val="28"/>
          <w:szCs w:val="28"/>
          <w:u w:val="single"/>
        </w:rPr>
        <w:lastRenderedPageBreak/>
        <w:t>Convention spécifique</w:t>
      </w:r>
    </w:p>
    <w:p>
      <w:pPr>
        <w:spacing w:after="240" w:line="276" w:lineRule="auto"/>
        <w:jc w:val="both"/>
        <w:rPr>
          <w:rFonts w:asciiTheme="minorHAnsi" w:hAnsiTheme="minorHAnsi" w:cstheme="minorHAnsi"/>
          <w:sz w:val="20"/>
          <w:szCs w:val="20"/>
        </w:rPr>
      </w:pPr>
      <w:r>
        <w:rPr>
          <w:rFonts w:asciiTheme="minorHAnsi" w:hAnsiTheme="minorHAnsi" w:cstheme="minorHAnsi"/>
          <w:sz w:val="20"/>
          <w:szCs w:val="20"/>
        </w:rPr>
        <w:t>La convention spécifique est également générée par l’encodage des données de fréquentation. Elle se présente</w:t>
      </w:r>
      <w:r>
        <w:rPr>
          <w:rFonts w:asciiTheme="minorHAnsi" w:hAnsiTheme="minorHAnsi" w:cstheme="minorHAnsi"/>
          <w:b/>
          <w:sz w:val="20"/>
          <w:szCs w:val="20"/>
        </w:rPr>
        <w:t xml:space="preserve"> </w:t>
      </w:r>
      <w:r>
        <w:rPr>
          <w:rFonts w:asciiTheme="minorHAnsi" w:hAnsiTheme="minorHAnsi" w:cstheme="minorHAnsi"/>
          <w:sz w:val="20"/>
          <w:szCs w:val="20"/>
        </w:rPr>
        <w:t>comme suit :</w:t>
      </w:r>
    </w:p>
    <w:p>
      <w:pPr>
        <w:spacing w:after="240" w:line="276" w:lineRule="auto"/>
        <w:jc w:val="center"/>
        <w:rPr>
          <w:rFonts w:asciiTheme="minorHAnsi" w:hAnsiTheme="minorHAnsi" w:cstheme="minorHAnsi"/>
          <w:b/>
        </w:rPr>
      </w:pPr>
      <w:r>
        <w:rPr>
          <w:noProof/>
          <w:lang w:eastAsia="fr-BE"/>
        </w:rPr>
        <w:drawing>
          <wp:inline distT="0" distB="0" distL="0" distR="0">
            <wp:extent cx="5191200" cy="5763600"/>
            <wp:effectExtent l="19050" t="19050" r="9525" b="27940"/>
            <wp:docPr id="1047" name="Imag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91200" cy="5763600"/>
                    </a:xfrm>
                    <a:prstGeom prst="rect">
                      <a:avLst/>
                    </a:prstGeom>
                    <a:ln>
                      <a:solidFill>
                        <a:schemeClr val="tx1"/>
                      </a:solidFill>
                    </a:ln>
                  </pic:spPr>
                </pic:pic>
              </a:graphicData>
            </a:graphic>
          </wp:inline>
        </w:drawing>
      </w:r>
    </w:p>
    <w:p>
      <w:pPr>
        <w:pStyle w:val="Titre1"/>
        <w:numPr>
          <w:ilvl w:val="0"/>
          <w:numId w:val="90"/>
        </w:numPr>
        <w:spacing w:after="240" w:line="276" w:lineRule="auto"/>
        <w:ind w:left="357" w:hanging="357"/>
        <w:jc w:val="both"/>
        <w:rPr>
          <w:rFonts w:asciiTheme="minorHAnsi" w:hAnsiTheme="minorHAnsi" w:cstheme="minorHAnsi"/>
          <w:caps/>
          <w:sz w:val="28"/>
          <w:szCs w:val="28"/>
          <w:u w:val="single"/>
        </w:rPr>
      </w:pPr>
      <w:r>
        <w:rPr>
          <w:rFonts w:asciiTheme="minorHAnsi" w:hAnsiTheme="minorHAnsi" w:cstheme="minorHAnsi"/>
          <w:caps/>
          <w:sz w:val="28"/>
          <w:szCs w:val="28"/>
          <w:u w:val="single"/>
        </w:rPr>
        <w:t>Demande de remboursement de frais de déplacement</w:t>
      </w:r>
    </w:p>
    <w:p>
      <w:pPr>
        <w:spacing w:line="276" w:lineRule="auto"/>
        <w:rPr>
          <w:rFonts w:asciiTheme="minorHAnsi" w:hAnsiTheme="minorHAnsi" w:cstheme="minorHAnsi"/>
          <w:sz w:val="20"/>
          <w:szCs w:val="20"/>
        </w:rPr>
      </w:pPr>
      <w:r>
        <w:rPr>
          <w:rFonts w:asciiTheme="minorHAnsi" w:hAnsiTheme="minorHAnsi" w:cstheme="minorHAnsi"/>
          <w:sz w:val="20"/>
          <w:szCs w:val="20"/>
        </w:rPr>
        <w:t>Les documents permettant la demande de remboursement de frais de déplacement et/ou d’hébergement peuvent également être générés via ce formulaire d’encodage. Toutefois, à la différence des précédentes versions, le calcul des frais ne se fait plus automatiquement. Seuls le nom du CTA, les dates de formation et l’intitulé de celle-ci sont implémentés dans ces documents.</w:t>
      </w:r>
    </w:p>
    <w:p>
      <w:pPr>
        <w:spacing w:line="276" w:lineRule="auto"/>
        <w:rPr>
          <w:rFonts w:asciiTheme="minorHAnsi" w:hAnsiTheme="minorHAnsi" w:cstheme="minorHAnsi"/>
        </w:rPr>
      </w:pPr>
      <w:r>
        <w:rPr>
          <w:rFonts w:asciiTheme="minorHAnsi" w:hAnsiTheme="minorHAnsi" w:cstheme="minorHAnsi"/>
        </w:rPr>
        <w:br w:type="page"/>
      </w:r>
    </w:p>
    <w:bookmarkEnd w:id="30"/>
    <w:bookmarkEnd w:id="31"/>
    <w:bookmarkEnd w:id="32"/>
    <w:bookmarkEnd w:id="33"/>
    <w:p>
      <w:pPr>
        <w:pStyle w:val="Titre1"/>
        <w:numPr>
          <w:ilvl w:val="0"/>
          <w:numId w:val="90"/>
        </w:numPr>
        <w:tabs>
          <w:tab w:val="clear" w:pos="720"/>
          <w:tab w:val="num" w:pos="567"/>
        </w:tabs>
        <w:spacing w:after="240" w:line="276" w:lineRule="auto"/>
        <w:ind w:left="567" w:hanging="567"/>
        <w:jc w:val="both"/>
        <w:rPr>
          <w:rFonts w:asciiTheme="minorHAnsi" w:hAnsiTheme="minorHAnsi" w:cstheme="minorHAnsi"/>
          <w:caps/>
          <w:sz w:val="28"/>
          <w:szCs w:val="28"/>
          <w:u w:val="single"/>
        </w:rPr>
      </w:pPr>
      <w:r>
        <w:rPr>
          <w:rFonts w:asciiTheme="minorHAnsi" w:hAnsiTheme="minorHAnsi" w:cstheme="minorHAnsi"/>
          <w:caps/>
          <w:sz w:val="28"/>
          <w:szCs w:val="28"/>
          <w:u w:val="single"/>
        </w:rPr>
        <w:lastRenderedPageBreak/>
        <w:t>Nommer un FORMULAIRE et la copie des listes de présences et du bordereau récapitulatif</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Une fois la formation et l’encodage des données terminés, il convient de nommer le formulaire au format suivant : </w:t>
      </w:r>
    </w:p>
    <w:p>
      <w:pPr>
        <w:spacing w:after="120" w:line="276" w:lineRule="auto"/>
        <w:ind w:left="567" w:right="565"/>
        <w:jc w:val="both"/>
        <w:rPr>
          <w:rFonts w:asciiTheme="minorHAnsi" w:hAnsiTheme="minorHAnsi" w:cstheme="minorHAnsi"/>
          <w:b/>
          <w:sz w:val="20"/>
          <w:szCs w:val="20"/>
        </w:rPr>
      </w:pPr>
      <w:r>
        <w:rPr>
          <w:rFonts w:asciiTheme="minorHAnsi" w:hAnsiTheme="minorHAnsi" w:cstheme="minorHAnsi"/>
          <w:b/>
          <w:sz w:val="20"/>
          <w:szCs w:val="20"/>
        </w:rPr>
        <w:t xml:space="preserve">N° FASE du CTA – date du début de la formation inversée (aaammjj) – code de la formation </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Exemples : </w:t>
      </w:r>
    </w:p>
    <w:p>
      <w:pPr>
        <w:pStyle w:val="Paragraphedeliste"/>
        <w:numPr>
          <w:ilvl w:val="0"/>
          <w:numId w:val="88"/>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pour une formation, dont le code est 999, débutant le 29 mars 2011 au CTA Serge Journé d’Ath à destination d’élèves de 5P de l’institut Saint-Joseph de Ciney, le nom du formulaire sera le suivant :</w:t>
      </w:r>
    </w:p>
    <w:p>
      <w:pPr>
        <w:spacing w:after="120" w:line="276" w:lineRule="auto"/>
        <w:ind w:left="709"/>
        <w:jc w:val="both"/>
        <w:rPr>
          <w:rFonts w:asciiTheme="minorHAnsi" w:hAnsiTheme="minorHAnsi" w:cstheme="minorHAnsi"/>
          <w:b/>
          <w:sz w:val="20"/>
          <w:szCs w:val="20"/>
        </w:rPr>
      </w:pPr>
      <w:r>
        <w:rPr>
          <w:rFonts w:asciiTheme="minorHAnsi" w:hAnsiTheme="minorHAnsi" w:cstheme="minorHAnsi"/>
          <w:b/>
          <w:sz w:val="20"/>
          <w:szCs w:val="20"/>
        </w:rPr>
        <w:t xml:space="preserve">95220 – 20110329  – 999 </w:t>
      </w:r>
    </w:p>
    <w:p>
      <w:pPr>
        <w:pStyle w:val="Paragraphedeliste"/>
        <w:numPr>
          <w:ilvl w:val="0"/>
          <w:numId w:val="88"/>
        </w:numPr>
        <w:spacing w:after="120" w:line="276" w:lineRule="auto"/>
        <w:jc w:val="both"/>
        <w:rPr>
          <w:rFonts w:asciiTheme="minorHAnsi" w:hAnsiTheme="minorHAnsi" w:cstheme="minorHAnsi"/>
          <w:sz w:val="20"/>
          <w:szCs w:val="20"/>
        </w:rPr>
      </w:pPr>
      <w:r>
        <w:rPr>
          <w:rFonts w:asciiTheme="minorHAnsi" w:hAnsiTheme="minorHAnsi" w:cstheme="minorHAnsi"/>
          <w:sz w:val="20"/>
          <w:szCs w:val="20"/>
        </w:rPr>
        <w:t>pour une formation, dont le code est 98, débutant le 27 janvier 2023 au CTA Mécanique appliquée de Charleroi à destination de demandeurs d’emploi et organisée par le CDC Technocampus, le nom du formulaire sera le suivant :</w:t>
      </w:r>
    </w:p>
    <w:p>
      <w:pPr>
        <w:spacing w:after="120" w:line="276" w:lineRule="auto"/>
        <w:ind w:left="709"/>
        <w:jc w:val="both"/>
        <w:rPr>
          <w:rFonts w:asciiTheme="minorHAnsi" w:hAnsiTheme="minorHAnsi" w:cstheme="minorHAnsi"/>
          <w:b/>
          <w:sz w:val="20"/>
          <w:szCs w:val="20"/>
        </w:rPr>
      </w:pPr>
      <w:r>
        <w:rPr>
          <w:rFonts w:asciiTheme="minorHAnsi" w:hAnsiTheme="minorHAnsi" w:cstheme="minorHAnsi"/>
          <w:b/>
          <w:sz w:val="20"/>
          <w:szCs w:val="20"/>
        </w:rPr>
        <w:t xml:space="preserve">95244 – 20230127 – 98 </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Pour vous aider, vous pouvez recopier l’intitulé de la cellule « CODE ENREGISTREMENT »</w:t>
      </w:r>
    </w:p>
    <w:p>
      <w:pPr>
        <w:pStyle w:val="Titre1"/>
        <w:numPr>
          <w:ilvl w:val="0"/>
          <w:numId w:val="90"/>
        </w:numPr>
        <w:tabs>
          <w:tab w:val="clear" w:pos="720"/>
          <w:tab w:val="num" w:pos="426"/>
        </w:tabs>
        <w:spacing w:after="240" w:line="276" w:lineRule="auto"/>
        <w:ind w:left="425" w:hanging="425"/>
        <w:jc w:val="both"/>
        <w:rPr>
          <w:rFonts w:asciiTheme="minorHAnsi" w:hAnsiTheme="minorHAnsi" w:cstheme="minorHAnsi"/>
          <w:caps/>
          <w:sz w:val="28"/>
          <w:szCs w:val="28"/>
          <w:u w:val="single"/>
        </w:rPr>
      </w:pPr>
      <w:r>
        <w:rPr>
          <w:rFonts w:asciiTheme="minorHAnsi" w:hAnsiTheme="minorHAnsi" w:cstheme="minorHAnsi"/>
          <w:caps/>
          <w:sz w:val="28"/>
          <w:szCs w:val="28"/>
          <w:u w:val="single"/>
        </w:rPr>
        <w:t>Enregistrer un FORMULAIRE et la copie des listes de présences et du bordereau récapitulatif</w:t>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Une fois le formulaire totalement complété et nommé au bon format, il convient de l’enregistrer dans le partage sécurisé CTA (</w:t>
      </w:r>
      <w:hyperlink r:id="rId95" w:history="1">
        <w:r>
          <w:rPr>
            <w:rStyle w:val="Lienhypertexte"/>
            <w:rFonts w:asciiTheme="minorHAnsi" w:hAnsiTheme="minorHAnsi" w:cstheme="minorHAnsi"/>
            <w:sz w:val="20"/>
            <w:szCs w:val="20"/>
          </w:rPr>
          <w:t>https://www.ged.cfwb.be</w:t>
        </w:r>
      </w:hyperlink>
      <w:r>
        <w:rPr>
          <w:rFonts w:asciiTheme="minorHAnsi" w:hAnsiTheme="minorHAnsi" w:cstheme="minorHAnsi"/>
          <w:sz w:val="20"/>
          <w:szCs w:val="20"/>
        </w:rPr>
        <w:t xml:space="preserve">), accessible grâce aux </w:t>
      </w:r>
      <w:r>
        <w:rPr>
          <w:rFonts w:asciiTheme="minorHAnsi" w:hAnsiTheme="minorHAnsi" w:cstheme="minorHAnsi"/>
          <w:b/>
          <w:sz w:val="20"/>
          <w:szCs w:val="20"/>
          <w:u w:val="single"/>
        </w:rPr>
        <w:t>accès CERBERE</w:t>
      </w:r>
      <w:r>
        <w:rPr>
          <w:rFonts w:asciiTheme="minorHAnsi" w:hAnsiTheme="minorHAnsi" w:cstheme="minorHAnsi"/>
          <w:sz w:val="20"/>
          <w:szCs w:val="20"/>
        </w:rPr>
        <w:t xml:space="preserve">, à savoir l’adresse mail cfwb du CTA et le mot de passe, au sein du dossier propre à chaque centre. </w:t>
      </w:r>
    </w:p>
    <w:p>
      <w:pPr>
        <w:spacing w:after="120" w:line="276" w:lineRule="auto"/>
        <w:jc w:val="center"/>
        <w:rPr>
          <w:rFonts w:asciiTheme="minorHAnsi" w:hAnsiTheme="minorHAnsi" w:cstheme="minorHAnsi"/>
          <w:szCs w:val="20"/>
        </w:rPr>
      </w:pPr>
      <w:r>
        <w:rPr>
          <w:rFonts w:asciiTheme="minorHAnsi" w:hAnsiTheme="minorHAnsi" w:cstheme="minorHAnsi"/>
          <w:noProof/>
          <w:lang w:eastAsia="fr-BE"/>
        </w:rPr>
        <mc:AlternateContent>
          <mc:Choice Requires="wps">
            <w:drawing>
              <wp:anchor distT="0" distB="0" distL="114300" distR="114300" simplePos="0" relativeHeight="251715584" behindDoc="0" locked="0" layoutInCell="1" allowOverlap="1">
                <wp:simplePos x="0" y="0"/>
                <wp:positionH relativeFrom="margin">
                  <wp:posOffset>120848</wp:posOffset>
                </wp:positionH>
                <wp:positionV relativeFrom="paragraph">
                  <wp:posOffset>530109</wp:posOffset>
                </wp:positionV>
                <wp:extent cx="581652" cy="564077"/>
                <wp:effectExtent l="0" t="0" r="9525" b="7620"/>
                <wp:wrapNone/>
                <wp:docPr id="998" name="Zone de texte 998"/>
                <wp:cNvGraphicFramePr/>
                <a:graphic xmlns:a="http://schemas.openxmlformats.org/drawingml/2006/main">
                  <a:graphicData uri="http://schemas.microsoft.com/office/word/2010/wordprocessingShape">
                    <wps:wsp>
                      <wps:cNvSpPr txBox="1"/>
                      <wps:spPr>
                        <a:xfrm>
                          <a:off x="0" y="0"/>
                          <a:ext cx="581652" cy="56407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Theme="minorHAnsi" w:hAnsiTheme="minorHAnsi" w:cstheme="minorHAnsi"/>
                                <w:b/>
                                <w:color w:val="FF0000"/>
                                <w:sz w:val="16"/>
                                <w:szCs w:val="16"/>
                              </w:rPr>
                            </w:pPr>
                            <w:r>
                              <w:rPr>
                                <w:rFonts w:asciiTheme="minorHAnsi" w:hAnsiTheme="minorHAnsi" w:cstheme="minorHAnsi"/>
                                <w:b/>
                                <w:color w:val="FF0000"/>
                                <w:sz w:val="16"/>
                                <w:szCs w:val="16"/>
                              </w:rPr>
                              <w:t>Dossier commun à tous les CTA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998" o:spid="_x0000_s1043" type="#_x0000_t202" style="position:absolute;left:0;text-align:left;margin-left:9.5pt;margin-top:41.75pt;width:45.8pt;height:44.4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3M2kwIAAJoFAAAOAAAAZHJzL2Uyb0RvYy54bWysVEtvGyEQvlfqf0Dc67Vd24mtrCPXUapK&#10;URI1qSL1hlmIUYGhgL3r/voO7PrRNJdUvewOzDffMM+Ly8ZoshU+KLAlHfT6lAjLoVL2uaTfHq8/&#10;nFMSIrMV02BFSXci0Mv5+3cXtZuJIaxBV8ITJLFhVruSrmN0s6IIfC0MCz1wwqJSgjcs4tE/F5Vn&#10;NbIbXQz7/UlRg6+cBy5CwNurVknnmV9KweOdlEFEokuKb4v56/N3lb7F/ILNnj1za8W7Z7B/eIVh&#10;yqLTA9UVi4xsvPqLyijuIYCMPQ6mACkVFzkGjGbQfxHNw5o5kWPB5AR3SFP4f7T8dnvviapKOp1i&#10;qSwzWKTvWCpSCRJFEwVJCkxT7cIM0Q8O8bH5BA2We38f8DJF30hv0h/jIqjHhO8OSUYuwvFyfD6Y&#10;jIeUcFSNJ6P+2VliKY7Gzof4WYAhSSipxxrm1LLtTYgtdA9JvgJoVV0rrfMh9Y1Yak+2DCuuY34i&#10;kv+B0pbUJZ18HPczsYVk3jJrm2hE7pzOXQq8DTBLcadFwmj7VUjMXI7zFd+Mc2EP/jM6oSS6eoth&#10;hz++6i3GbRxokT2DjQdjoyz4HH0etWPKqh/7lMkWj7U5iTuJsVk1uWUGuXTpagXVDvvCQztgwfFr&#10;hdW7YSHeM48Tha2AWyLe4UdqwOxDJ1GyBv/rtfuEx0ZHLSU1TmhJw88N84IS/cXiCEwHo1Ea6XwY&#10;jc+GePCnmtWpxm7MErAlBriPHM9iwke9F6UH84TLZJG8oopZjr5LGvfiMrZ7A5cRF4tFBuEQOxZv&#10;7IPjiTqlOfXmY/PEvOsaOE3RLexnmc1e9HGLTZYWFpsIUuUmP2a1KwAugDwm3bJKG+b0nFHHlTr/&#10;DQAA//8DAFBLAwQUAAYACAAAACEAtUVO2OEAAAAJAQAADwAAAGRycy9kb3ducmV2LnhtbEyPS2vD&#10;MBCE74X8B7GBXkojJyaPOpZDKX1Abo37oDfF2tim1spYiu3++25O7W2HGWa/SXejbUSPna8dKZjP&#10;IhBIhTM1lQre8qfbDQgfNBndOEIFP+hhl02uUp0YN9Ar9odQCi4hn2gFVQhtIqUvKrTaz1yLxN7J&#10;dVYHll0pTacHLreNXETRSlpdE3+odIsPFRbfh7NV8HVTfu79+Pw+xMu4fXzp8/WHyZW6no73WxAB&#10;x/AXhgs+o0PGTEd3JuNFw/qOpwQFm3gJ4uLPoxWIIx/rRQwyS+X/BdkvAAAA//8DAFBLAQItABQA&#10;BgAIAAAAIQC2gziS/gAAAOEBAAATAAAAAAAAAAAAAAAAAAAAAABbQ29udGVudF9UeXBlc10ueG1s&#10;UEsBAi0AFAAGAAgAAAAhADj9If/WAAAAlAEAAAsAAAAAAAAAAAAAAAAALwEAAF9yZWxzLy5yZWxz&#10;UEsBAi0AFAAGAAgAAAAhABP3czaTAgAAmgUAAA4AAAAAAAAAAAAAAAAALgIAAGRycy9lMm9Eb2Mu&#10;eG1sUEsBAi0AFAAGAAgAAAAhALVFTtjhAAAACQEAAA8AAAAAAAAAAAAAAAAA7QQAAGRycy9kb3du&#10;cmV2LnhtbFBLBQYAAAAABAAEAPMAAAD7BQAAAAA=&#10;" fillcolor="white [3201]" stroked="f" strokeweight=".5pt">
                <v:textbox>
                  <w:txbxContent>
                    <w:p>
                      <w:pPr>
                        <w:rPr>
                          <w:rFonts w:asciiTheme="minorHAnsi" w:hAnsiTheme="minorHAnsi" w:cstheme="minorHAnsi"/>
                          <w:b/>
                          <w:color w:val="FF0000"/>
                          <w:sz w:val="16"/>
                          <w:szCs w:val="16"/>
                        </w:rPr>
                      </w:pPr>
                      <w:r>
                        <w:rPr>
                          <w:rFonts w:asciiTheme="minorHAnsi" w:hAnsiTheme="minorHAnsi" w:cstheme="minorHAnsi"/>
                          <w:b/>
                          <w:color w:val="FF0000"/>
                          <w:sz w:val="16"/>
                          <w:szCs w:val="16"/>
                        </w:rPr>
                        <w:t>Dossier commun à tous les CTA</w:t>
                      </w:r>
                    </w:p>
                  </w:txbxContent>
                </v:textbox>
                <w10:wrap anchorx="margin"/>
              </v:shape>
            </w:pict>
          </mc:Fallback>
        </mc:AlternateContent>
      </w:r>
      <w:r>
        <w:rPr>
          <w:rFonts w:asciiTheme="minorHAnsi" w:hAnsiTheme="minorHAnsi" w:cstheme="minorHAnsi"/>
          <w:noProof/>
          <w:lang w:eastAsia="fr-BE"/>
        </w:rPr>
        <mc:AlternateContent>
          <mc:Choice Requires="wps">
            <w:drawing>
              <wp:anchor distT="0" distB="0" distL="114300" distR="114300" simplePos="0" relativeHeight="251718656" behindDoc="0" locked="0" layoutInCell="1" allowOverlap="1">
                <wp:simplePos x="0" y="0"/>
                <wp:positionH relativeFrom="column">
                  <wp:posOffset>73348</wp:posOffset>
                </wp:positionH>
                <wp:positionV relativeFrom="paragraph">
                  <wp:posOffset>1242629</wp:posOffset>
                </wp:positionV>
                <wp:extent cx="629004" cy="807522"/>
                <wp:effectExtent l="0" t="0" r="0" b="0"/>
                <wp:wrapNone/>
                <wp:docPr id="999" name="Zone de texte 999"/>
                <wp:cNvGraphicFramePr/>
                <a:graphic xmlns:a="http://schemas.openxmlformats.org/drawingml/2006/main">
                  <a:graphicData uri="http://schemas.microsoft.com/office/word/2010/wordprocessingShape">
                    <wps:wsp>
                      <wps:cNvSpPr txBox="1"/>
                      <wps:spPr>
                        <a:xfrm>
                          <a:off x="0" y="0"/>
                          <a:ext cx="629004" cy="80752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asciiTheme="minorHAnsi" w:hAnsiTheme="minorHAnsi" w:cstheme="minorHAnsi"/>
                                <w:b/>
                                <w:color w:val="FF0000"/>
                                <w:sz w:val="16"/>
                                <w:szCs w:val="16"/>
                              </w:rPr>
                            </w:pPr>
                            <w:r>
                              <w:rPr>
                                <w:rFonts w:asciiTheme="minorHAnsi" w:hAnsiTheme="minorHAnsi" w:cstheme="minorHAnsi"/>
                                <w:b/>
                                <w:color w:val="FF0000"/>
                                <w:sz w:val="16"/>
                                <w:szCs w:val="16"/>
                              </w:rPr>
                              <w:t>Dossier propre à chaque CTA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999" o:spid="_x0000_s1044" type="#_x0000_t202" style="position:absolute;left:0;text-align:left;margin-left:5.8pt;margin-top:97.85pt;width:49.55pt;height:63.6pt;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VBlAIAAJoFAAAOAAAAZHJzL2Uyb0RvYy54bWysVEtvGyEQvlfqf0Dcm127zsNW1pGbKFWl&#10;KImaVJF6wyzEqMBQwN51f30Hdtd201xS9bI7MN98wzzPL1qjyUb4oMBWdHRUUiIsh1rZ54p+e7z+&#10;cEZJiMzWTIMVFd2KQC/m79+dN24mxrACXQtPkMSGWeMquorRzYoi8JUwLByBExaVErxhEY/+uag9&#10;a5Dd6GJclidFA752HrgIAW+vOiWdZ34pBY93UgYRia4ovi3mr8/fZfoW83M2e/bMrRTvn8H+4RWG&#10;KYtOd1RXLDKy9uovKqO4hwAyHnEwBUipuMgxYDSj8kU0DyvmRI4FkxPcLk3h/9Hy2829J6qu6HQ6&#10;pcQyg0X6jqUitSBRtFGQpMA0NS7MEP3gEB/bT9BiuYf7gJcp+lZ6k/4YF0E9Jny7SzJyEY6XJ+Np&#10;WU4o4ag6K0+Px+PEUuyNnQ/xswBDklBRjzXMqWWbmxA76ABJvgJoVV8rrfMh9Y241J5sGFZcx/xE&#10;JP8DpS1p8CEfj8tMbCGZd8zaJhqRO6d3lwLvAsxS3GqRMNp+FRIzl+N8xTfjXNid/4xOKImu3mLY&#10;4/eveotxFwdaZM9g487YKAs+R59HbZ+y+seQMtnhsTYHcScxtss2t8zobGiAJdRb7AsP3YAFx68V&#10;Vu+GhXjPPE4UtgJuiXiHH6kBsw+9RMkK/K/X7hMeGx21lDQ4oRUNP9fMC0r0F4sjMB1NJmmk82Fy&#10;fDrGgz/ULA81dm0uAVtihPvI8SwmfNSDKD2YJ1wmi+QVVcxy9F3ROIiXsdsbuIy4WCwyCIfYsXhj&#10;HxxP1CnNqTcf2yfmXd/AaYpuYZhlNnvRxx02WVpYrCNIlZs8JbrLal8AXAB5TPpllTbM4Tmj9it1&#10;/hsAAP//AwBQSwMEFAAGAAgAAAAhAM78hIHhAAAACgEAAA8AAABkcnMvZG93bnJldi54bWxMj0tP&#10;wzAQhO9I/Adrkbgg6jzUloY4FUI8pN5oeIibGy9JRLyOYjcJ/57tCU67oxnNfptvZ9uJEQffOlIQ&#10;LyIQSJUzLdUKXsvH6xsQPmgyunOECn7Qw7Y4P8t1ZtxELzjuQy24hHymFTQh9JmUvmrQar9wPRJ7&#10;X26wOrAcamkGPXG57WQSRStpdUt8odE93jdYfe+PVsHnVf2x8/PT25Qu0/7heSzX76ZU6vJivrsF&#10;EXAOf2E44TM6FMx0cEcyXnSs4xUneW6WaxCnQBzxclCQJskGZJHL/y8UvwAAAP//AwBQSwECLQAU&#10;AAYACAAAACEAtoM4kv4AAADhAQAAEwAAAAAAAAAAAAAAAAAAAAAAW0NvbnRlbnRfVHlwZXNdLnht&#10;bFBLAQItABQABgAIAAAAIQA4/SH/1gAAAJQBAAALAAAAAAAAAAAAAAAAAC8BAABfcmVscy8ucmVs&#10;c1BLAQItABQABgAIAAAAIQAtC+VBlAIAAJoFAAAOAAAAAAAAAAAAAAAAAC4CAABkcnMvZTJvRG9j&#10;LnhtbFBLAQItABQABgAIAAAAIQDO/ISB4QAAAAoBAAAPAAAAAAAAAAAAAAAAAO4EAABkcnMvZG93&#10;bnJldi54bWxQSwUGAAAAAAQABADzAAAA/AUAAAAA&#10;" fillcolor="white [3201]" stroked="f" strokeweight=".5pt">
                <v:textbox>
                  <w:txbxContent>
                    <w:p>
                      <w:pPr>
                        <w:rPr>
                          <w:rFonts w:asciiTheme="minorHAnsi" w:hAnsiTheme="minorHAnsi" w:cstheme="minorHAnsi"/>
                          <w:b/>
                          <w:color w:val="FF0000"/>
                          <w:sz w:val="16"/>
                          <w:szCs w:val="16"/>
                        </w:rPr>
                      </w:pPr>
                      <w:r>
                        <w:rPr>
                          <w:rFonts w:asciiTheme="minorHAnsi" w:hAnsiTheme="minorHAnsi" w:cstheme="minorHAnsi"/>
                          <w:b/>
                          <w:color w:val="FF0000"/>
                          <w:sz w:val="16"/>
                          <w:szCs w:val="16"/>
                        </w:rPr>
                        <w:t>Dossier propre à chaque CTA</w:t>
                      </w:r>
                    </w:p>
                  </w:txbxContent>
                </v:textbox>
              </v:shape>
            </w:pict>
          </mc:Fallback>
        </mc:AlternateContent>
      </w:r>
      <w:r>
        <w:rPr>
          <w:rFonts w:asciiTheme="minorHAnsi" w:hAnsiTheme="minorHAnsi" w:cstheme="minorHAnsi"/>
          <w:noProof/>
          <w:lang w:eastAsia="fr-BE"/>
        </w:rPr>
        <mc:AlternateContent>
          <mc:Choice Requires="wps">
            <w:drawing>
              <wp:anchor distT="0" distB="0" distL="114300" distR="114300" simplePos="0" relativeHeight="251717632" behindDoc="0" locked="0" layoutInCell="1" allowOverlap="1">
                <wp:simplePos x="0" y="0"/>
                <wp:positionH relativeFrom="column">
                  <wp:posOffset>750240</wp:posOffset>
                </wp:positionH>
                <wp:positionV relativeFrom="paragraph">
                  <wp:posOffset>1379195</wp:posOffset>
                </wp:positionV>
                <wp:extent cx="142504" cy="0"/>
                <wp:effectExtent l="38100" t="76200" r="0" b="95250"/>
                <wp:wrapNone/>
                <wp:docPr id="1000" name="Connecteur droit avec flèche 1000"/>
                <wp:cNvGraphicFramePr/>
                <a:graphic xmlns:a="http://schemas.openxmlformats.org/drawingml/2006/main">
                  <a:graphicData uri="http://schemas.microsoft.com/office/word/2010/wordprocessingShape">
                    <wps:wsp>
                      <wps:cNvCnPr/>
                      <wps:spPr>
                        <a:xfrm flipH="1">
                          <a:off x="0" y="0"/>
                          <a:ext cx="142504" cy="0"/>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Connecteur droit avec flèche 1000" o:spid="_x0000_s1026" type="#_x0000_t32" style="position:absolute;margin-left:59.05pt;margin-top:108.6pt;width:11.2pt;height:0;flip:x;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rlhAwIAAFIEAAAOAAAAZHJzL2Uyb0RvYy54bWysVMuu0zAQ3SPxD5b3NGnVi1DV9C56KSwQ&#10;VDw+wHXGiSW/NPZt2j/iP/gxxk4ankICsXEy8Zwzc47H2d5frGFnwKi9a/hyUXMGTvpWu67hnz4e&#10;nr3gLCbhWmG8g4ZfIfL73dMn2yFsYOV7b1pARiQubobQ8D6lsKmqKHuwIi58AEebyqMViULsqhbF&#10;QOzWVKu6fl4NHtuAXkKM9PVh3OS7wq8UyPROqQiJmYZTb6msWNZTXqvdVmw6FKHXcmpD/EMXVmhH&#10;RWeqB5EEe0T9C5XVEn30Ki2kt5VXSksoGkjNsv5JzYdeBChayJwYZpvi/6OVb89HZLqls6trMsgJ&#10;S6e0986RdfCIrEWvExNnkEyZL5/pXFjJJOOGEDeE37sjTlEMR8wuXBRaStfhNfEWX0gpuxTbr7Pt&#10;cElM0sflenVXrzmTt61qZMhMAWN6Bd6y/NLwmFDork9Tgx5HdnF+ExP1QMAbIIONY0PDV3drUpbj&#10;6I1uD9qYEmB32htkZ0GjcTiQ+jINRPFDWhLavHQtS9dAxiTUwnUG8txQpnH0yDaMwstbuhoYi78H&#10;Rc5mgWP1PNMwlxRSgkvLmYmyM0xRezNwavtPwCk/Q6HM+9+AZ0Sp7F2awVY7j79rO11uLasx/+bA&#10;qDtbcPLttYxEsYYGt3g1XbJ8M76PC/zbr2D3FQAA//8DAFBLAwQUAAYACAAAACEAxMTFtuAAAAAL&#10;AQAADwAAAGRycy9kb3ducmV2LnhtbEyPwUrDQBCG74LvsIzgzW4Sa1vSbIoUC3oIYhS0t212TEKz&#10;s2F3m8a37xYK9vjPfPzzTbYadccGtK41JCCeRMCQKqNaqgV8fW4eFsCcl6RkZwgF/KGDVX57k8lU&#10;mSN94FD6moUScqkU0Hjfp5y7qkEt3cT0SGH3a6yWPkRbc2XlMZTrjidRNONathQuNLLHdYPVvjxo&#10;Ae9z+0Lbzf67mD4Ww3osft5K/yrE/d34vATmcfT/MJz1gzrkwWlnDqQc60KOF3FABSTxPAF2JqbR&#10;E7DdZcLzjF//kJ8AAAD//wMAUEsBAi0AFAAGAAgAAAAhALaDOJL+AAAA4QEAABMAAAAAAAAAAAAA&#10;AAAAAAAAAFtDb250ZW50X1R5cGVzXS54bWxQSwECLQAUAAYACAAAACEAOP0h/9YAAACUAQAACwAA&#10;AAAAAAAAAAAAAAAvAQAAX3JlbHMvLnJlbHNQSwECLQAUAAYACAAAACEANzq5YQMCAABSBAAADgAA&#10;AAAAAAAAAAAAAAAuAgAAZHJzL2Uyb0RvYy54bWxQSwECLQAUAAYACAAAACEAxMTFtuAAAAALAQAA&#10;DwAAAAAAAAAAAAAAAABdBAAAZHJzL2Rvd25yZXYueG1sUEsFBgAAAAAEAAQA8wAAAGoFAAAAAA==&#10;" strokecolor="red" strokeweight="2pt">
                <v:stroke endarrow="block"/>
              </v:shape>
            </w:pict>
          </mc:Fallback>
        </mc:AlternateContent>
      </w:r>
      <w:r>
        <w:rPr>
          <w:rFonts w:asciiTheme="minorHAnsi" w:hAnsiTheme="minorHAnsi" w:cstheme="minorHAnsi"/>
          <w:noProof/>
          <w:lang w:eastAsia="fr-BE"/>
        </w:rPr>
        <mc:AlternateContent>
          <mc:Choice Requires="wps">
            <w:drawing>
              <wp:anchor distT="0" distB="0" distL="114300" distR="114300" simplePos="0" relativeHeight="251716608" behindDoc="0" locked="0" layoutInCell="1" allowOverlap="1">
                <wp:simplePos x="0" y="0"/>
                <wp:positionH relativeFrom="column">
                  <wp:posOffset>922432</wp:posOffset>
                </wp:positionH>
                <wp:positionV relativeFrom="paragraph">
                  <wp:posOffset>939808</wp:posOffset>
                </wp:positionV>
                <wp:extent cx="647206" cy="866899"/>
                <wp:effectExtent l="0" t="0" r="19685" b="28575"/>
                <wp:wrapNone/>
                <wp:docPr id="1001" name="Rectangle à coins arrondis 1001"/>
                <wp:cNvGraphicFramePr/>
                <a:graphic xmlns:a="http://schemas.openxmlformats.org/drawingml/2006/main">
                  <a:graphicData uri="http://schemas.microsoft.com/office/word/2010/wordprocessingShape">
                    <wps:wsp>
                      <wps:cNvSpPr/>
                      <wps:spPr>
                        <a:xfrm>
                          <a:off x="0" y="0"/>
                          <a:ext cx="647206" cy="866899"/>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à coins arrondis 1001" o:spid="_x0000_s1026" style="position:absolute;margin-left:72.65pt;margin-top:74pt;width:50.95pt;height:68.25pt;z-index:2517166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Y1+sQIAAKsFAAAOAAAAZHJzL2Uyb0RvYy54bWysVM1u2zAMvg/YOwi6r3aCNGuCOkXQIsOA&#10;oi3aDj0rshwLkEWNUv72NHuXvdgo+adBV+wwzAdZEsmP5CeSl1eHxrCdQq/BFnx0lnOmrIRS203B&#10;vz2vPl1w5oOwpTBgVcGPyvOrxccPl3s3V2OowZQKGYFYP9+7gtchuHmWeVmrRvgzcMqSsAJsRKAj&#10;brISxZ7QG5ON83ya7QFLhyCV93R70wr5IuFXlZLhvqq8CswUnGILacW0ruOaLS7FfIPC1Vp2YYh/&#10;iKIR2pLTAepGBMG2qP+AarRE8FCFMwlNBlWlpUo5UDaj/E02T7VwKuVC5Hg30OT/H6y82z0g0yW9&#10;XZ6POLOioVd6JN6E3RjFfv1kErT1TCCCLbVnSY9o2zs/J+sn94DdydM2cnCosIl/yo4dEtXHgWp1&#10;CEzS5XTyeZxPOZMkuphOL2az+BTZq7FDH74oaFjcFBxha8sYVmJZ7G59aPV7vejQwkobQ/dibizb&#10;F3x8PsnzZOHB6DJKo9DjZn1tkO0EVcVqldPXeT9Ro1iMpZBinm1maReORrUOHlVFxFEu49ZDLFk1&#10;wAoplQ2jVlSLUrXezk+d9RYpcWMJMCJXFOWA3QH0mi1Ij90y0OlHU5UqfjDuUv+b8WCRPIMNg3Gj&#10;LeB7mRnKqvPc6vcktdREltZQHqmsENp+806uND3jrfDhQSA1GLUiDY1wT0tlgF4Kuh1nNeCP9+6j&#10;PtU9STnbU8MW3H/fClScma+WOmI2mkxih6fD5JzKizM8laxPJXbbXAO9PpU8RZe2UT+YflshNC80&#10;W5bRK4mEleS74DJgf7gO7SCh6STVcpnUqKudCLf2yckIHlmNFfp8eBHouloO1AR30De3mL+p5lY3&#10;WlpYbgNUOpX6K68d3zQRUuF00yuOnNNz0nqdsYvfAAAA//8DAFBLAwQUAAYACAAAACEAgyb/dt8A&#10;AAALAQAADwAAAGRycy9kb3ducmV2LnhtbEyPwU7DMBBE70j8g7VI3KhDSCGEOBVFqqAHDrQRZzd2&#10;kwh7bcVOk/492xPcZrRPszPlaraGnfQQeocC7hcJMI2NUz22Aur95i4HFqJEJY1DLeCsA6yq66tS&#10;FspN+KVPu9gyCsFQSAFdjL7gPDSdtjIsnNdIt6MbrIxkh5arQU4Ubg1Pk+SRW9kjfeik12+dbn52&#10;oxXgpnTe+K057sf3ta/P9fP3+uNTiNub+fUFWNRz/IPhUp+qQ0WdDm5EFZghny0fCL2InEYRkWZP&#10;KbADiTxbAq9K/n9D9QsAAP//AwBQSwECLQAUAAYACAAAACEAtoM4kv4AAADhAQAAEwAAAAAAAAAA&#10;AAAAAAAAAAAAW0NvbnRlbnRfVHlwZXNdLnhtbFBLAQItABQABgAIAAAAIQA4/SH/1gAAAJQBAAAL&#10;AAAAAAAAAAAAAAAAAC8BAABfcmVscy8ucmVsc1BLAQItABQABgAIAAAAIQC8ZY1+sQIAAKsFAAAO&#10;AAAAAAAAAAAAAAAAAC4CAABkcnMvZTJvRG9jLnhtbFBLAQItABQABgAIAAAAIQCDJv923wAAAAsB&#10;AAAPAAAAAAAAAAAAAAAAAAsFAABkcnMvZG93bnJldi54bWxQSwUGAAAAAAQABADzAAAAFwYAAAAA&#10;" filled="f" strokecolor="red" strokeweight="2pt"/>
            </w:pict>
          </mc:Fallback>
        </mc:AlternateContent>
      </w:r>
      <w:r>
        <w:rPr>
          <w:rFonts w:asciiTheme="minorHAnsi" w:hAnsiTheme="minorHAnsi" w:cstheme="minorHAnsi"/>
          <w:noProof/>
          <w:lang w:eastAsia="fr-BE"/>
        </w:rPr>
        <mc:AlternateContent>
          <mc:Choice Requires="wps">
            <w:drawing>
              <wp:anchor distT="0" distB="0" distL="114300" distR="114300" simplePos="0" relativeHeight="251714560" behindDoc="0" locked="0" layoutInCell="1" allowOverlap="1">
                <wp:simplePos x="0" y="0"/>
                <wp:positionH relativeFrom="column">
                  <wp:posOffset>744301</wp:posOffset>
                </wp:positionH>
                <wp:positionV relativeFrom="paragraph">
                  <wp:posOffset>805024</wp:posOffset>
                </wp:positionV>
                <wp:extent cx="136171" cy="45719"/>
                <wp:effectExtent l="38100" t="38100" r="16510" b="50165"/>
                <wp:wrapNone/>
                <wp:docPr id="1002" name="Connecteur droit avec flèche 1002"/>
                <wp:cNvGraphicFramePr/>
                <a:graphic xmlns:a="http://schemas.openxmlformats.org/drawingml/2006/main">
                  <a:graphicData uri="http://schemas.microsoft.com/office/word/2010/wordprocessingShape">
                    <wps:wsp>
                      <wps:cNvCnPr/>
                      <wps:spPr>
                        <a:xfrm flipH="1" flipV="1">
                          <a:off x="0" y="0"/>
                          <a:ext cx="136171" cy="45719"/>
                        </a:xfrm>
                        <a:prstGeom prst="straightConnector1">
                          <a:avLst/>
                        </a:prstGeom>
                        <a:ln w="254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Connecteur droit avec flèche 1002" o:spid="_x0000_s1026" type="#_x0000_t32" style="position:absolute;margin-left:58.6pt;margin-top:63.4pt;width:10.7pt;height:3.6pt;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qxlDAIAAGAEAAAOAAAAZHJzL2Uyb0RvYy54bWysVMuu0zAQ3SPxD5b3NEm5D6ia3kUvhQWC&#10;itfedcaJJce2xr5N+0f8Bz/G2EnDU0ggsrBsz5yZM2fGWd+desOOgEE7W/NqUXIGVrpG27bmHz/s&#10;njzjLERhG2GchZqfIfC7zeNH68GvYOk6ZxpARkFsWA2+5l2MflUUQXbQi7BwHiwZlcNeRDpiWzQo&#10;Borem2JZljfF4LDx6CSEQLf3o5FvcnylQMa3SgWIzNScuMW8Yl4PaS02a7FqUfhOy4mG+AcWvdCW&#10;ks6h7kUU7AH1L6F6LdEFp+JCur5wSmkJuQaqpip/quZ9JzzkWkic4GeZwv8LK98c98h0Q70ryyVn&#10;VvTUpa2zlqSDB2QNOh2ZOIJkynz5TH1h2ZOEG3xYEX5r9zidgt9jUuGksCd37V9RXJ53n9Iu2ahm&#10;dsoNOM8NgFNkki6rpzfVLQEkma6ub6vnqT/FGC9hPYb4ElzP0qbmIaLQbRcnug7HDOL4OsQReAEk&#10;sLFsqPny+qosM5HgjG522phkDNgetgbZUdCg7HYlfVPuH9yi0OaFbVg8e5Ipoha2NTB5Gktkkyij&#10;DHkXzwbG5O9Akc6pyDF7mnCYUwopwcZqjkTeCaaI3gycaP8JOPknKOTp/xvwjMiZnY0zuNfW4e9o&#10;x9OFshr9LwqMdScJDq455wHJ0tAY545OTy69k+/PGf7tx7D5CgAA//8DAFBLAwQUAAYACAAAACEA&#10;g3XyDOAAAAALAQAADwAAAGRycy9kb3ducmV2LnhtbEyPzW7CMBCE75X6DtZW6q04pFWAEAdRJC4t&#10;QoJW5brEmx81tqPYQPr23Zza24z20+xMthpMK67U+8ZZBdNJBIJs4XRjKwWfH9unOQgf0GpsnSUF&#10;P+Rhld/fZZhqd7MHuh5DJTjE+hQV1CF0qZS+qMmgn7iOLN9K1xsMbPtK6h5vHG5aGUdRIg02lj/U&#10;2NGmpuL7eDEKtpt3HF7XX4vFaZ/Mot2hfCt3pVKPD8N6CSLQEP5gGOtzdci509ldrPaiZT+dxYyy&#10;iBPeMBLP8wTEeRQvEcg8k/835L8AAAD//wMAUEsBAi0AFAAGAAgAAAAhALaDOJL+AAAA4QEAABMA&#10;AAAAAAAAAAAAAAAAAAAAAFtDb250ZW50X1R5cGVzXS54bWxQSwECLQAUAAYACAAAACEAOP0h/9YA&#10;AACUAQAACwAAAAAAAAAAAAAAAAAvAQAAX3JlbHMvLnJlbHNQSwECLQAUAAYACAAAACEAxB6sZQwC&#10;AABgBAAADgAAAAAAAAAAAAAAAAAuAgAAZHJzL2Uyb0RvYy54bWxQSwECLQAUAAYACAAAACEAg3Xy&#10;DOAAAAALAQAADwAAAAAAAAAAAAAAAABmBAAAZHJzL2Rvd25yZXYueG1sUEsFBgAAAAAEAAQA8wAA&#10;AHMFAAAAAA==&#10;" strokecolor="red" strokeweight="2pt">
                <v:stroke endarrow="block"/>
              </v:shape>
            </w:pict>
          </mc:Fallback>
        </mc:AlternateContent>
      </w:r>
      <w:r>
        <w:rPr>
          <w:rFonts w:asciiTheme="minorHAnsi" w:hAnsiTheme="minorHAnsi" w:cstheme="minorHAnsi"/>
          <w:noProof/>
          <w:lang w:eastAsia="fr-BE"/>
        </w:rPr>
        <mc:AlternateContent>
          <mc:Choice Requires="wps">
            <w:drawing>
              <wp:anchor distT="0" distB="0" distL="114300" distR="114300" simplePos="0" relativeHeight="251713536" behindDoc="0" locked="0" layoutInCell="1" allowOverlap="1">
                <wp:simplePos x="0" y="0"/>
                <wp:positionH relativeFrom="column">
                  <wp:posOffset>904619</wp:posOffset>
                </wp:positionH>
                <wp:positionV relativeFrom="paragraph">
                  <wp:posOffset>809180</wp:posOffset>
                </wp:positionV>
                <wp:extent cx="564078" cy="112815"/>
                <wp:effectExtent l="0" t="0" r="26670" b="20955"/>
                <wp:wrapNone/>
                <wp:docPr id="1003" name="Ellipse 1003"/>
                <wp:cNvGraphicFramePr/>
                <a:graphic xmlns:a="http://schemas.openxmlformats.org/drawingml/2006/main">
                  <a:graphicData uri="http://schemas.microsoft.com/office/word/2010/wordprocessingShape">
                    <wps:wsp>
                      <wps:cNvSpPr/>
                      <wps:spPr>
                        <a:xfrm>
                          <a:off x="0" y="0"/>
                          <a:ext cx="564078" cy="112815"/>
                        </a:xfrm>
                        <a:prstGeom prst="ellipse">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1003" o:spid="_x0000_s1026" style="position:absolute;margin-left:71.25pt;margin-top:63.7pt;width:44.4pt;height:8.9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ABQnQIAAJUFAAAOAAAAZHJzL2Uyb0RvYy54bWysVFFv2yAQfp+0/4B4X21nSdtZdaqoXaZJ&#10;1VqtnfpMMI6RMMeAxMl+/Q6w3air9jAtDw5wd9/xfdzd1fWhU2QvrJOgK1qc5ZQIzaGWelvRH0/r&#10;D5eUOM90zRRoUdGjcPR6+f7dVW9KMYMWVC0sQRDtyt5UtPXelFnmeCs65s7ACI3GBmzHPG7tNqst&#10;6xG9U9ksz8+zHmxtLHDhHJ7eJiNdRvymEdzfN40TnqiK4t18/Nr43YRvtrxi5dYy00o+XIP9wy06&#10;JjUmnaBumWdkZ+UfUJ3kFhw0/oxDl0HTSC4iB2RT5K/YPLbMiMgFxXFmksn9P1j+bf9giazx7fL8&#10;IyWadfhKn5WSxgkSz1Ci3rgSPR/Ngx12DpeB76GxXfhHJuQQZT1OsoqDJxwPF+fz/ALrgKOpKGaX&#10;xSLInr0EG+v8FwEdCYuKipQ96sn2d84n79ErpNOwlkrhOSuVJn1FZ4t5nscIB0rWwRqMzm43N8qS&#10;PcP3X69z/A25T9zwJkrjhQLLxCuu/FGJlOC7aFAiZDJLGUJxigmWcS60L5KpZbVI2RanycaISFtp&#10;BAzIDd5ywh4ARs8EMmInBQb/ECpibU/BA/W/BU8RMTNoPwV3UoN9i5lCVkPm5D+KlKQJKm2gPmIB&#10;WUid5QxfS3zEO+b8A7PYSth0OB78PX4aBfhSMKwoacH+eus8+GOFo5WSHluzou7njllBifqqsfY/&#10;FfN56OW4mS8uZrixp5bNqUXvuhvA1y9wEBkel8Hfq3HZWOiecYqsQlY0Mc0xd0W5t+PmxqeRgXOI&#10;i9UqumH/Gubv9KPhATyoGir06fDMrBkq2WMLfIOxjVn5qpqTb4jUsNp5aGQs9RddB72x92PhDHMq&#10;DJfTffR6mabL3wAAAP//AwBQSwMEFAAGAAgAAAAhAF5ye0veAAAACwEAAA8AAABkcnMvZG93bnJl&#10;di54bWxMj81OwzAQhO9IvIO1SNyoUzcBFOJUtBIH4NSCOG/jbRLVP1HstoGnZ3uC245mNPNttZyc&#10;FScaYx+8hvksA0G+Cab3rYbPj5e7RxAxoTdogycN3xRhWV9fVViacPYbOm1TK7jExxI1dCkNpZSx&#10;6chhnIWBPHv7MDpMLMdWmhHPXO6sVFl2Lx32nhc6HGjdUXPYHh3vvq9ypb7UqjjYn/Ub7ovBhFet&#10;b2+m5ycQiab0F4YLPqNDzUy7cPQmCss6VwVH+VAPOQhOqMV8AWJ3sQoFsq7k/x/qXwAAAP//AwBQ&#10;SwECLQAUAAYACAAAACEAtoM4kv4AAADhAQAAEwAAAAAAAAAAAAAAAAAAAAAAW0NvbnRlbnRfVHlw&#10;ZXNdLnhtbFBLAQItABQABgAIAAAAIQA4/SH/1gAAAJQBAAALAAAAAAAAAAAAAAAAAC8BAABfcmVs&#10;cy8ucmVsc1BLAQItABQABgAIAAAAIQCvZABQnQIAAJUFAAAOAAAAAAAAAAAAAAAAAC4CAABkcnMv&#10;ZTJvRG9jLnhtbFBLAQItABQABgAIAAAAIQBecntL3gAAAAsBAAAPAAAAAAAAAAAAAAAAAPcEAABk&#10;cnMvZG93bnJldi54bWxQSwUGAAAAAAQABADzAAAAAgYAAAAA&#10;" filled="f" strokecolor="red" strokeweight="2pt"/>
            </w:pict>
          </mc:Fallback>
        </mc:AlternateContent>
      </w:r>
      <w:r>
        <w:rPr>
          <w:rFonts w:asciiTheme="minorHAnsi" w:hAnsiTheme="minorHAnsi" w:cstheme="minorHAnsi"/>
          <w:noProof/>
          <w:lang w:eastAsia="fr-BE"/>
        </w:rPr>
        <w:drawing>
          <wp:inline distT="0" distB="0" distL="0" distR="0">
            <wp:extent cx="5741670" cy="2321560"/>
            <wp:effectExtent l="19050" t="19050" r="11430" b="21590"/>
            <wp:docPr id="1049" name="Image 1049" descr="écran accueil partage c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écran accueil partage ct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41670" cy="2321560"/>
                    </a:xfrm>
                    <a:prstGeom prst="rect">
                      <a:avLst/>
                    </a:prstGeom>
                    <a:noFill/>
                    <a:ln w="6350" cmpd="sng">
                      <a:solidFill>
                        <a:srgbClr val="000000"/>
                      </a:solidFill>
                      <a:miter lim="800000"/>
                      <a:headEnd/>
                      <a:tailEnd/>
                    </a:ln>
                    <a:effectLst/>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t xml:space="preserve">Dans chaque dossier de centre a été créé un sous-dossier intitulé « Fréquentations à valider ». </w:t>
      </w:r>
    </w:p>
    <w:p>
      <w:pPr>
        <w:spacing w:after="120" w:line="276" w:lineRule="auto"/>
        <w:rPr>
          <w:rFonts w:asciiTheme="minorHAnsi" w:hAnsiTheme="minorHAnsi" w:cstheme="minorHAnsi"/>
          <w:szCs w:val="20"/>
        </w:rPr>
      </w:pPr>
      <w:r>
        <w:rPr>
          <w:rFonts w:asciiTheme="minorHAnsi" w:hAnsiTheme="minorHAnsi" w:cstheme="minorHAnsi"/>
          <w:noProof/>
          <w:lang w:eastAsia="fr-BE"/>
        </w:rPr>
        <mc:AlternateContent>
          <mc:Choice Requires="wps">
            <w:drawing>
              <wp:anchor distT="0" distB="0" distL="114300" distR="114300" simplePos="0" relativeHeight="251719680" behindDoc="0" locked="0" layoutInCell="1" allowOverlap="1">
                <wp:simplePos x="0" y="0"/>
                <wp:positionH relativeFrom="column">
                  <wp:posOffset>773991</wp:posOffset>
                </wp:positionH>
                <wp:positionV relativeFrom="paragraph">
                  <wp:posOffset>875962</wp:posOffset>
                </wp:positionV>
                <wp:extent cx="659080" cy="184067"/>
                <wp:effectExtent l="0" t="0" r="27305" b="26035"/>
                <wp:wrapNone/>
                <wp:docPr id="1004" name="Ellipse 1004"/>
                <wp:cNvGraphicFramePr/>
                <a:graphic xmlns:a="http://schemas.openxmlformats.org/drawingml/2006/main">
                  <a:graphicData uri="http://schemas.microsoft.com/office/word/2010/wordprocessingShape">
                    <wps:wsp>
                      <wps:cNvSpPr/>
                      <wps:spPr>
                        <a:xfrm>
                          <a:off x="0" y="0"/>
                          <a:ext cx="659080" cy="184067"/>
                        </a:xfrm>
                        <a:prstGeom prst="ellipse">
                          <a:avLst/>
                        </a:prstGeom>
                        <a:noFill/>
                        <a:ln w="254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1004" o:spid="_x0000_s1026" style="position:absolute;margin-left:60.95pt;margin-top:68.95pt;width:51.9pt;height:14.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ZsaQIAAM4EAAAOAAAAZHJzL2Uyb0RvYy54bWysVE1vGjEQvVfqf7B8b3ZBJCGrLBFKSlUp&#10;SpCSKufB62Ut2R7XNizpr+/Yu+SrPVXlYGY8X36PN1xeHYxme+mDQlvzyUnJmbQCG2W3Nf/xuPoy&#10;5yxEsA1otLLmzzLwq8XnT5e9q+QUO9SN9Iya2FD1ruZdjK4qiiA6aSCcoJOWgi16A5Fcvy0aDz11&#10;N7qYluVZ0aNvnEchQ6DbmyHIF7l/20oR79s2yMh0zeltMZ8+n5t0FotLqLYeXKfE+Az4h1cYUJaG&#10;vrS6gQhs59UfrYwSHgO28USgKbBtlZAZA6GZlB/QPHTgZMZC5AT3QlP4f23F3X7tmWrotyvLGWcW&#10;DP1KX7VWLkiW74ii3oWKMh/c2o9eIDPhPbTepG9Cwg6Z1ucXWuUhMkGXZ6cX5ZzIFxSazGfl2Xmi&#10;vXgtdj7EbxINS0bN5TA98wn72xCH7GNWGmdxpbSme6i0ZX3Np6ezMo0A0lCrIZJpHKEKdssZ6C2J&#10;U0SfWwbUqknlqTr47eZae7YHEshqVdJnfNy7tDT7BkI35OXQIB2jIulXK1PzeSo+VmubususwBFB&#10;InGgLVkbbJ6JeY+DJIMTK0VDbiHENXjSIKGhvYr3dLQaCSKOFmcd+l9/u0/5JA2KctaTpgn+zx14&#10;yZn+bkk0F5PZLC1Bdman51Ny/NvI5m3E7sw1EisT2mAnspnyoz6arUfzROu3TFMpBFbQ7IHo0bmO&#10;w67RAgu5XOY0Er6DeGsfnEjNE0+J3sfDE3g3SiCSdu7wqH+oPshgyE2VFpe7iK3KGnnlleSVHFqa&#10;LLRxwdNWvvVz1uvf0OI3AAAA//8DAFBLAwQUAAYACAAAACEAzR0T4d4AAAALAQAADwAAAGRycy9k&#10;b3ducmV2LnhtbEyPQU+EMBCF7yb+h2ZMvBi3lI3FRcpmI/Hg0XUv3gqMQKRTQrsL/nvHk97em3l5&#10;802xX90oLjiHwZMBtUlAIDW+HagzcHp/uX8EEaKl1o6e0MA3BtiX11eFzVu/0BtejrETXEIhtwb6&#10;GKdcytD06GzY+AmJd59+djaynTvZznbhcjfKNEm0dHYgvtDbCZ97bL6OZ2egInlaXtdE60Onquyj&#10;VtXdVhlze7MenkBEXONfGH7xGR1KZqr9mdogRvap2nGUxTZjwYk0fchA1DzRegeyLOT/H8ofAAAA&#10;//8DAFBLAQItABQABgAIAAAAIQC2gziS/gAAAOEBAAATAAAAAAAAAAAAAAAAAAAAAABbQ29udGVu&#10;dF9UeXBlc10ueG1sUEsBAi0AFAAGAAgAAAAhADj9If/WAAAAlAEAAAsAAAAAAAAAAAAAAAAALwEA&#10;AF9yZWxzLy5yZWxzUEsBAi0AFAAGAAgAAAAhAAf8VmxpAgAAzgQAAA4AAAAAAAAAAAAAAAAALgIA&#10;AGRycy9lMm9Eb2MueG1sUEsBAi0AFAAGAAgAAAAhAM0dE+HeAAAACwEAAA8AAAAAAAAAAAAAAAAA&#10;wwQAAGRycy9kb3ducmV2LnhtbFBLBQYAAAAABAAEAPMAAADOBQAAAAA=&#10;" filled="f" strokecolor="red" strokeweight="2pt">
                <v:stroke joinstyle="miter"/>
              </v:oval>
            </w:pict>
          </mc:Fallback>
        </mc:AlternateContent>
      </w:r>
      <w:r>
        <w:rPr>
          <w:noProof/>
          <w:lang w:eastAsia="fr-BE"/>
        </w:rPr>
        <w:drawing>
          <wp:inline distT="0" distB="0" distL="0" distR="0">
            <wp:extent cx="5759450" cy="1039091"/>
            <wp:effectExtent l="19050" t="19050" r="12700" b="27940"/>
            <wp:docPr id="1050" name="Imag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791489" cy="1044871"/>
                    </a:xfrm>
                    <a:prstGeom prst="rect">
                      <a:avLst/>
                    </a:prstGeom>
                    <a:ln>
                      <a:solidFill>
                        <a:srgbClr val="000000"/>
                      </a:solidFill>
                    </a:ln>
                  </pic:spPr>
                </pic:pic>
              </a:graphicData>
            </a:graphic>
          </wp:inline>
        </w:drawing>
      </w:r>
    </w:p>
    <w:p>
      <w:pPr>
        <w:spacing w:after="120" w:line="276" w:lineRule="auto"/>
        <w:jc w:val="both"/>
        <w:rPr>
          <w:rFonts w:asciiTheme="minorHAnsi" w:hAnsiTheme="minorHAnsi" w:cstheme="minorHAnsi"/>
          <w:sz w:val="20"/>
          <w:szCs w:val="20"/>
        </w:rPr>
      </w:pPr>
      <w:r>
        <w:rPr>
          <w:rFonts w:asciiTheme="minorHAnsi" w:hAnsiTheme="minorHAnsi" w:cstheme="minorHAnsi"/>
          <w:sz w:val="20"/>
          <w:szCs w:val="20"/>
        </w:rPr>
        <w:lastRenderedPageBreak/>
        <w:t>C’est à cet endroit qu’il convient d’enregistrer le formulaire d’encodage sous format Excel, ainsi que le dossier justificatif (sous format PDF) y affèrent. Le nom de ce dernier doit obligatoirement être identique au formulaire d’encodage.</w:t>
      </w:r>
    </w:p>
    <w:p>
      <w:pPr>
        <w:pStyle w:val="Titre1"/>
        <w:numPr>
          <w:ilvl w:val="0"/>
          <w:numId w:val="90"/>
        </w:numPr>
        <w:tabs>
          <w:tab w:val="clear" w:pos="720"/>
          <w:tab w:val="num" w:pos="426"/>
        </w:tabs>
        <w:spacing w:after="240" w:line="276" w:lineRule="auto"/>
        <w:ind w:left="425" w:hanging="425"/>
        <w:jc w:val="both"/>
        <w:rPr>
          <w:rFonts w:asciiTheme="minorHAnsi" w:hAnsiTheme="minorHAnsi" w:cstheme="minorHAnsi"/>
          <w:caps/>
          <w:sz w:val="28"/>
          <w:szCs w:val="28"/>
          <w:u w:val="single"/>
        </w:rPr>
      </w:pPr>
      <w:r>
        <w:rPr>
          <w:rFonts w:asciiTheme="minorHAnsi" w:hAnsiTheme="minorHAnsi" w:cstheme="minorHAnsi"/>
          <w:caps/>
          <w:sz w:val="28"/>
          <w:szCs w:val="28"/>
          <w:u w:val="single"/>
        </w:rPr>
        <w:t>Informations complémentaires</w:t>
      </w:r>
    </w:p>
    <w:p>
      <w:pPr>
        <w:spacing w:after="120" w:line="276" w:lineRule="auto"/>
        <w:rPr>
          <w:rFonts w:asciiTheme="minorHAnsi" w:hAnsiTheme="minorHAnsi" w:cstheme="minorHAnsi"/>
          <w:sz w:val="20"/>
          <w:szCs w:val="20"/>
        </w:rPr>
      </w:pPr>
      <w:r>
        <w:rPr>
          <w:rFonts w:asciiTheme="minorHAnsi" w:hAnsiTheme="minorHAnsi" w:cstheme="minorHAnsi"/>
          <w:sz w:val="20"/>
          <w:szCs w:val="20"/>
        </w:rPr>
        <w:t>Pour toute question ou problème, n’hésitez pas à prendre contact avec la Direction « Relations Ecoles-Monde du Travail » :</w:t>
      </w:r>
    </w:p>
    <w:p>
      <w:pPr>
        <w:spacing w:after="120" w:line="276" w:lineRule="auto"/>
        <w:jc w:val="center"/>
        <w:rPr>
          <w:rFonts w:asciiTheme="minorHAnsi" w:hAnsiTheme="minorHAnsi" w:cstheme="minorHAnsi"/>
          <w:sz w:val="20"/>
          <w:szCs w:val="20"/>
        </w:rPr>
      </w:pPr>
      <w:r>
        <w:rPr>
          <w:rFonts w:asciiTheme="minorHAnsi" w:hAnsiTheme="minorHAnsi" w:cstheme="minorHAnsi"/>
          <w:sz w:val="20"/>
          <w:szCs w:val="20"/>
        </w:rPr>
        <w:t>Fédération Wallonie-Bruxelles</w:t>
      </w:r>
    </w:p>
    <w:p>
      <w:pPr>
        <w:spacing w:after="120" w:line="276" w:lineRule="auto"/>
        <w:jc w:val="center"/>
        <w:rPr>
          <w:rFonts w:asciiTheme="minorHAnsi" w:hAnsiTheme="minorHAnsi" w:cstheme="minorHAnsi"/>
          <w:sz w:val="20"/>
          <w:szCs w:val="20"/>
        </w:rPr>
      </w:pPr>
      <w:r>
        <w:rPr>
          <w:rFonts w:asciiTheme="minorHAnsi" w:hAnsiTheme="minorHAnsi" w:cstheme="minorHAnsi"/>
          <w:sz w:val="20"/>
          <w:szCs w:val="20"/>
        </w:rPr>
        <w:t>Direction Générale de l’Enseignement Obligatoire</w:t>
      </w:r>
    </w:p>
    <w:p>
      <w:pPr>
        <w:spacing w:after="120" w:line="276" w:lineRule="auto"/>
        <w:jc w:val="center"/>
        <w:rPr>
          <w:rFonts w:asciiTheme="minorHAnsi" w:hAnsiTheme="minorHAnsi" w:cstheme="minorHAnsi"/>
          <w:sz w:val="20"/>
          <w:szCs w:val="20"/>
        </w:rPr>
      </w:pPr>
      <w:r>
        <w:rPr>
          <w:rFonts w:asciiTheme="minorHAnsi" w:hAnsiTheme="minorHAnsi" w:cstheme="minorHAnsi"/>
          <w:sz w:val="20"/>
          <w:szCs w:val="20"/>
        </w:rPr>
        <w:t>Direction « Relations Ecoles-Monde du Travail »</w:t>
      </w:r>
    </w:p>
    <w:p>
      <w:pPr>
        <w:spacing w:after="120" w:line="276" w:lineRule="auto"/>
        <w:jc w:val="center"/>
        <w:rPr>
          <w:rFonts w:asciiTheme="minorHAnsi" w:hAnsiTheme="minorHAnsi" w:cstheme="minorHAnsi"/>
          <w:sz w:val="20"/>
          <w:szCs w:val="20"/>
        </w:rPr>
      </w:pPr>
      <w:r>
        <w:rPr>
          <w:rFonts w:asciiTheme="minorHAnsi" w:hAnsiTheme="minorHAnsi" w:cstheme="minorHAnsi"/>
          <w:sz w:val="20"/>
          <w:szCs w:val="20"/>
        </w:rPr>
        <w:t>Service CTA, Fonds d’équipement et Cadastre</w:t>
      </w:r>
    </w:p>
    <w:p>
      <w:pPr>
        <w:spacing w:after="120" w:line="276" w:lineRule="auto"/>
        <w:jc w:val="center"/>
        <w:rPr>
          <w:rFonts w:asciiTheme="minorHAnsi" w:hAnsiTheme="minorHAnsi" w:cstheme="minorHAnsi"/>
          <w:sz w:val="20"/>
          <w:szCs w:val="20"/>
        </w:rPr>
      </w:pPr>
      <w:r>
        <w:rPr>
          <w:rFonts w:asciiTheme="minorHAnsi" w:hAnsiTheme="minorHAnsi" w:cstheme="minorHAnsi"/>
          <w:sz w:val="20"/>
          <w:szCs w:val="20"/>
        </w:rPr>
        <w:t>Rue A. Lavallée, 1 – 1080 Bruxelles</w:t>
      </w:r>
    </w:p>
    <w:p>
      <w:pPr>
        <w:spacing w:after="120" w:line="276" w:lineRule="auto"/>
        <w:jc w:val="center"/>
        <w:rPr>
          <w:rFonts w:asciiTheme="minorHAnsi" w:hAnsiTheme="minorHAnsi" w:cstheme="minorHAnsi"/>
          <w:sz w:val="20"/>
          <w:szCs w:val="20"/>
        </w:rPr>
      </w:pPr>
      <w:r>
        <w:rPr>
          <w:rFonts w:asciiTheme="minorHAnsi" w:hAnsiTheme="minorHAnsi" w:cstheme="minorHAnsi"/>
          <w:sz w:val="20"/>
          <w:szCs w:val="20"/>
        </w:rPr>
        <w:t>Tél : 02/690.88.97</w:t>
      </w:r>
    </w:p>
    <w:p>
      <w:pPr>
        <w:pStyle w:val="Retraitcorpsdetexte"/>
        <w:spacing w:after="120" w:line="240" w:lineRule="auto"/>
        <w:ind w:firstLine="0"/>
        <w:rPr>
          <w:rFonts w:ascii="Calibri" w:hAnsi="Calibri" w:cs="Calibri"/>
          <w:sz w:val="22"/>
          <w:szCs w:val="22"/>
          <w:lang w:val="fr-BE"/>
        </w:rPr>
      </w:pPr>
    </w:p>
    <w:sectPr>
      <w:headerReference w:type="default" r:id="rId97"/>
      <w:footerReference w:type="default" r:id="rId98"/>
      <w:footnotePr>
        <w:numRestart w:val="eachSect"/>
      </w:footnotePr>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ITC Zapf Chancery">
    <w:panose1 w:val="00000000000000000000"/>
    <w:charset w:val="00"/>
    <w:family w:val="script"/>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omic Sans MS">
    <w:panose1 w:val="030F0702030302020204"/>
    <w:charset w:val="00"/>
    <w:family w:val="script"/>
    <w:pitch w:val="variable"/>
    <w:sig w:usb0="00000287" w:usb1="00000013"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pPr>
      <w:pStyle w:val="Pieddepag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jc w:val="right"/>
      <w:rPr>
        <w:rFonts w:ascii="Calibri" w:hAnsi="Calibri" w:cs="Calibri"/>
        <w:sz w:val="18"/>
        <w:szCs w:val="18"/>
      </w:rPr>
    </w:pPr>
    <w:r>
      <w:rPr>
        <w:rFonts w:ascii="Calibri" w:hAnsi="Calibri" w:cs="Calibri"/>
        <w:sz w:val="18"/>
        <w:szCs w:val="18"/>
      </w:rPr>
      <w:fldChar w:fldCharType="begin"/>
    </w:r>
    <w:r>
      <w:rPr>
        <w:rFonts w:ascii="Calibri" w:hAnsi="Calibri" w:cs="Calibri"/>
        <w:sz w:val="18"/>
        <w:szCs w:val="18"/>
      </w:rPr>
      <w:instrText>PAGE</w:instrText>
    </w:r>
    <w:r>
      <w:rPr>
        <w:rFonts w:ascii="Calibri" w:hAnsi="Calibri" w:cs="Calibri"/>
        <w:sz w:val="18"/>
        <w:szCs w:val="18"/>
      </w:rPr>
      <w:fldChar w:fldCharType="separate"/>
    </w:r>
    <w:r>
      <w:rPr>
        <w:rFonts w:ascii="Calibri" w:hAnsi="Calibri" w:cs="Calibri"/>
        <w:noProof/>
        <w:sz w:val="18"/>
        <w:szCs w:val="18"/>
      </w:rPr>
      <w:t>21</w:t>
    </w:r>
    <w:r>
      <w:rPr>
        <w:rFonts w:ascii="Calibri" w:hAnsi="Calibri" w:cs="Calibri"/>
        <w:sz w:val="18"/>
        <w:szCs w:val="18"/>
      </w:rPr>
      <w:fldChar w:fldCharType="end"/>
    </w:r>
    <w:r>
      <w:rPr>
        <w:rFonts w:ascii="Calibri" w:hAnsi="Calibri" w:cs="Calibri"/>
        <w:sz w:val="18"/>
        <w:szCs w:val="18"/>
      </w:rPr>
      <w:t xml:space="preserve"> / </w:t>
    </w:r>
    <w:r>
      <w:rPr>
        <w:rFonts w:ascii="Calibri" w:hAnsi="Calibri" w:cs="Calibri"/>
        <w:sz w:val="18"/>
        <w:szCs w:val="18"/>
      </w:rPr>
      <w:fldChar w:fldCharType="begin"/>
    </w:r>
    <w:r>
      <w:rPr>
        <w:rFonts w:ascii="Calibri" w:hAnsi="Calibri" w:cs="Calibri"/>
        <w:sz w:val="18"/>
        <w:szCs w:val="18"/>
      </w:rPr>
      <w:instrText>NUMPAGES</w:instrText>
    </w:r>
    <w:r>
      <w:rPr>
        <w:rFonts w:ascii="Calibri" w:hAnsi="Calibri" w:cs="Calibri"/>
        <w:sz w:val="18"/>
        <w:szCs w:val="18"/>
      </w:rPr>
      <w:fldChar w:fldCharType="separate"/>
    </w:r>
    <w:r>
      <w:rPr>
        <w:rFonts w:ascii="Calibri" w:hAnsi="Calibri" w:cs="Calibri"/>
        <w:noProof/>
        <w:sz w:val="18"/>
        <w:szCs w:val="18"/>
      </w:rPr>
      <w:t>142</w:t>
    </w:r>
    <w:r>
      <w:rPr>
        <w:rFonts w:ascii="Calibri" w:hAnsi="Calibri" w:cs="Calibri"/>
        <w:sz w:val="18"/>
        <w:szCs w:val="1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jc w:val="right"/>
      <w:rPr>
        <w:rFonts w:ascii="Calibri" w:hAnsi="Calibri" w:cs="Calibri"/>
        <w:sz w:val="18"/>
        <w:szCs w:val="18"/>
      </w:rPr>
    </w:pPr>
    <w:r>
      <w:rPr>
        <w:rFonts w:ascii="Calibri" w:hAnsi="Calibri" w:cs="Calibri"/>
        <w:sz w:val="18"/>
        <w:szCs w:val="18"/>
      </w:rPr>
      <w:fldChar w:fldCharType="begin"/>
    </w:r>
    <w:r>
      <w:rPr>
        <w:rFonts w:ascii="Calibri" w:hAnsi="Calibri" w:cs="Calibri"/>
        <w:sz w:val="18"/>
        <w:szCs w:val="18"/>
      </w:rPr>
      <w:instrText>PAGE</w:instrText>
    </w:r>
    <w:r>
      <w:rPr>
        <w:rFonts w:ascii="Calibri" w:hAnsi="Calibri" w:cs="Calibri"/>
        <w:sz w:val="18"/>
        <w:szCs w:val="18"/>
      </w:rPr>
      <w:fldChar w:fldCharType="separate"/>
    </w:r>
    <w:r>
      <w:rPr>
        <w:rFonts w:ascii="Calibri" w:hAnsi="Calibri" w:cs="Calibri"/>
        <w:noProof/>
        <w:sz w:val="18"/>
        <w:szCs w:val="18"/>
      </w:rPr>
      <w:t>66</w:t>
    </w:r>
    <w:r>
      <w:rPr>
        <w:rFonts w:ascii="Calibri" w:hAnsi="Calibri" w:cs="Calibri"/>
        <w:sz w:val="18"/>
        <w:szCs w:val="18"/>
      </w:rPr>
      <w:fldChar w:fldCharType="end"/>
    </w:r>
    <w:r>
      <w:rPr>
        <w:rFonts w:ascii="Calibri" w:hAnsi="Calibri" w:cs="Calibri"/>
        <w:sz w:val="18"/>
        <w:szCs w:val="18"/>
      </w:rPr>
      <w:t xml:space="preserve"> / </w:t>
    </w:r>
    <w:r>
      <w:rPr>
        <w:rFonts w:ascii="Calibri" w:hAnsi="Calibri" w:cs="Calibri"/>
        <w:sz w:val="18"/>
        <w:szCs w:val="18"/>
      </w:rPr>
      <w:fldChar w:fldCharType="begin"/>
    </w:r>
    <w:r>
      <w:rPr>
        <w:rFonts w:ascii="Calibri" w:hAnsi="Calibri" w:cs="Calibri"/>
        <w:sz w:val="18"/>
        <w:szCs w:val="18"/>
      </w:rPr>
      <w:instrText>NUMPAGES</w:instrText>
    </w:r>
    <w:r>
      <w:rPr>
        <w:rFonts w:ascii="Calibri" w:hAnsi="Calibri" w:cs="Calibri"/>
        <w:sz w:val="18"/>
        <w:szCs w:val="18"/>
      </w:rPr>
      <w:fldChar w:fldCharType="separate"/>
    </w:r>
    <w:r>
      <w:rPr>
        <w:rFonts w:ascii="Calibri" w:hAnsi="Calibri" w:cs="Calibri"/>
        <w:noProof/>
        <w:sz w:val="18"/>
        <w:szCs w:val="18"/>
      </w:rPr>
      <w:t>142</w:t>
    </w:r>
    <w:r>
      <w:rPr>
        <w:rFonts w:ascii="Calibri" w:hAnsi="Calibri" w:cs="Calibri"/>
        <w:sz w:val="18"/>
        <w:szCs w:val="18"/>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jc w:val="right"/>
      <w:rPr>
        <w:rFonts w:ascii="Calibri" w:hAnsi="Calibri" w:cs="Calibri"/>
        <w:sz w:val="18"/>
        <w:szCs w:val="18"/>
      </w:rPr>
    </w:pPr>
    <w:r>
      <w:rPr>
        <w:rFonts w:ascii="Calibri" w:hAnsi="Calibri" w:cs="Calibri"/>
        <w:sz w:val="18"/>
        <w:szCs w:val="18"/>
      </w:rPr>
      <w:fldChar w:fldCharType="begin"/>
    </w:r>
    <w:r>
      <w:rPr>
        <w:rFonts w:ascii="Calibri" w:hAnsi="Calibri" w:cs="Calibri"/>
        <w:sz w:val="18"/>
        <w:szCs w:val="18"/>
      </w:rPr>
      <w:instrText>PAGE</w:instrText>
    </w:r>
    <w:r>
      <w:rPr>
        <w:rFonts w:ascii="Calibri" w:hAnsi="Calibri" w:cs="Calibri"/>
        <w:sz w:val="18"/>
        <w:szCs w:val="18"/>
      </w:rPr>
      <w:fldChar w:fldCharType="separate"/>
    </w:r>
    <w:r>
      <w:rPr>
        <w:rFonts w:ascii="Calibri" w:hAnsi="Calibri" w:cs="Calibri"/>
        <w:noProof/>
        <w:sz w:val="18"/>
        <w:szCs w:val="18"/>
      </w:rPr>
      <w:t>74</w:t>
    </w:r>
    <w:r>
      <w:rPr>
        <w:rFonts w:ascii="Calibri" w:hAnsi="Calibri" w:cs="Calibri"/>
        <w:sz w:val="18"/>
        <w:szCs w:val="18"/>
      </w:rPr>
      <w:fldChar w:fldCharType="end"/>
    </w:r>
    <w:r>
      <w:rPr>
        <w:rFonts w:ascii="Calibri" w:hAnsi="Calibri" w:cs="Calibri"/>
        <w:sz w:val="18"/>
        <w:szCs w:val="18"/>
      </w:rPr>
      <w:t xml:space="preserve"> / </w:t>
    </w:r>
    <w:r>
      <w:rPr>
        <w:rFonts w:ascii="Calibri" w:hAnsi="Calibri" w:cs="Calibri"/>
        <w:sz w:val="18"/>
        <w:szCs w:val="18"/>
      </w:rPr>
      <w:fldChar w:fldCharType="begin"/>
    </w:r>
    <w:r>
      <w:rPr>
        <w:rFonts w:ascii="Calibri" w:hAnsi="Calibri" w:cs="Calibri"/>
        <w:sz w:val="18"/>
        <w:szCs w:val="18"/>
      </w:rPr>
      <w:instrText>NUMPAGES</w:instrText>
    </w:r>
    <w:r>
      <w:rPr>
        <w:rFonts w:ascii="Calibri" w:hAnsi="Calibri" w:cs="Calibri"/>
        <w:sz w:val="18"/>
        <w:szCs w:val="18"/>
      </w:rPr>
      <w:fldChar w:fldCharType="separate"/>
    </w:r>
    <w:r>
      <w:rPr>
        <w:rFonts w:ascii="Calibri" w:hAnsi="Calibri" w:cs="Calibri"/>
        <w:noProof/>
        <w:sz w:val="18"/>
        <w:szCs w:val="18"/>
      </w:rPr>
      <w:t>142</w:t>
    </w:r>
    <w:r>
      <w:rPr>
        <w:rFonts w:ascii="Calibri" w:hAnsi="Calibri" w:cs="Calibri"/>
        <w:sz w:val="18"/>
        <w:szCs w:val="1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jc w:val="right"/>
      <w:rPr>
        <w:rFonts w:ascii="Calibri" w:hAnsi="Calibri" w:cs="Calibri"/>
        <w:sz w:val="18"/>
        <w:szCs w:val="18"/>
      </w:rPr>
    </w:pPr>
    <w:r>
      <w:rPr>
        <w:rFonts w:ascii="Calibri" w:hAnsi="Calibri" w:cs="Calibri"/>
        <w:sz w:val="18"/>
        <w:szCs w:val="18"/>
      </w:rPr>
      <w:fldChar w:fldCharType="begin"/>
    </w:r>
    <w:r>
      <w:rPr>
        <w:rFonts w:ascii="Calibri" w:hAnsi="Calibri" w:cs="Calibri"/>
        <w:sz w:val="18"/>
        <w:szCs w:val="18"/>
      </w:rPr>
      <w:instrText>PAGE</w:instrText>
    </w:r>
    <w:r>
      <w:rPr>
        <w:rFonts w:ascii="Calibri" w:hAnsi="Calibri" w:cs="Calibri"/>
        <w:sz w:val="18"/>
        <w:szCs w:val="18"/>
      </w:rPr>
      <w:fldChar w:fldCharType="separate"/>
    </w:r>
    <w:r>
      <w:rPr>
        <w:rFonts w:ascii="Calibri" w:hAnsi="Calibri" w:cs="Calibri"/>
        <w:noProof/>
        <w:sz w:val="18"/>
        <w:szCs w:val="18"/>
      </w:rPr>
      <w:t>75</w:t>
    </w:r>
    <w:r>
      <w:rPr>
        <w:rFonts w:ascii="Calibri" w:hAnsi="Calibri" w:cs="Calibri"/>
        <w:sz w:val="18"/>
        <w:szCs w:val="18"/>
      </w:rPr>
      <w:fldChar w:fldCharType="end"/>
    </w:r>
    <w:r>
      <w:rPr>
        <w:rFonts w:ascii="Calibri" w:hAnsi="Calibri" w:cs="Calibri"/>
        <w:sz w:val="18"/>
        <w:szCs w:val="18"/>
      </w:rPr>
      <w:t xml:space="preserve"> / </w:t>
    </w:r>
    <w:r>
      <w:rPr>
        <w:rFonts w:ascii="Calibri" w:hAnsi="Calibri" w:cs="Calibri"/>
        <w:sz w:val="18"/>
        <w:szCs w:val="18"/>
      </w:rPr>
      <w:fldChar w:fldCharType="begin"/>
    </w:r>
    <w:r>
      <w:rPr>
        <w:rFonts w:ascii="Calibri" w:hAnsi="Calibri" w:cs="Calibri"/>
        <w:sz w:val="18"/>
        <w:szCs w:val="18"/>
      </w:rPr>
      <w:instrText>NUMPAGES</w:instrText>
    </w:r>
    <w:r>
      <w:rPr>
        <w:rFonts w:ascii="Calibri" w:hAnsi="Calibri" w:cs="Calibri"/>
        <w:sz w:val="18"/>
        <w:szCs w:val="18"/>
      </w:rPr>
      <w:fldChar w:fldCharType="separate"/>
    </w:r>
    <w:r>
      <w:rPr>
        <w:rFonts w:ascii="Calibri" w:hAnsi="Calibri" w:cs="Calibri"/>
        <w:noProof/>
        <w:sz w:val="18"/>
        <w:szCs w:val="18"/>
      </w:rPr>
      <w:t>142</w:t>
    </w:r>
    <w:r>
      <w:rPr>
        <w:rFonts w:ascii="Calibri" w:hAnsi="Calibri" w:cs="Calibri"/>
        <w:sz w:val="18"/>
        <w:szCs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jc w:val="right"/>
      <w:rPr>
        <w:rFonts w:ascii="Calibri" w:hAnsi="Calibri" w:cs="Calibri"/>
        <w:sz w:val="18"/>
        <w:szCs w:val="18"/>
      </w:rPr>
    </w:pPr>
    <w:r>
      <w:rPr>
        <w:rFonts w:ascii="Calibri" w:hAnsi="Calibri" w:cs="Calibri"/>
        <w:sz w:val="18"/>
        <w:szCs w:val="18"/>
      </w:rPr>
      <w:fldChar w:fldCharType="begin"/>
    </w:r>
    <w:r>
      <w:rPr>
        <w:rFonts w:ascii="Calibri" w:hAnsi="Calibri" w:cs="Calibri"/>
        <w:sz w:val="18"/>
        <w:szCs w:val="18"/>
      </w:rPr>
      <w:instrText>PAGE</w:instrText>
    </w:r>
    <w:r>
      <w:rPr>
        <w:rFonts w:ascii="Calibri" w:hAnsi="Calibri" w:cs="Calibri"/>
        <w:sz w:val="18"/>
        <w:szCs w:val="18"/>
      </w:rPr>
      <w:fldChar w:fldCharType="separate"/>
    </w:r>
    <w:r>
      <w:rPr>
        <w:rFonts w:ascii="Calibri" w:hAnsi="Calibri" w:cs="Calibri"/>
        <w:noProof/>
        <w:sz w:val="18"/>
        <w:szCs w:val="18"/>
      </w:rPr>
      <w:t>142</w:t>
    </w:r>
    <w:r>
      <w:rPr>
        <w:rFonts w:ascii="Calibri" w:hAnsi="Calibri" w:cs="Calibri"/>
        <w:sz w:val="18"/>
        <w:szCs w:val="18"/>
      </w:rPr>
      <w:fldChar w:fldCharType="end"/>
    </w:r>
    <w:r>
      <w:rPr>
        <w:rFonts w:ascii="Calibri" w:hAnsi="Calibri" w:cs="Calibri"/>
        <w:sz w:val="18"/>
        <w:szCs w:val="18"/>
      </w:rPr>
      <w:t xml:space="preserve"> / </w:t>
    </w:r>
    <w:r>
      <w:rPr>
        <w:rFonts w:ascii="Calibri" w:hAnsi="Calibri" w:cs="Calibri"/>
        <w:sz w:val="18"/>
        <w:szCs w:val="18"/>
      </w:rPr>
      <w:fldChar w:fldCharType="begin"/>
    </w:r>
    <w:r>
      <w:rPr>
        <w:rFonts w:ascii="Calibri" w:hAnsi="Calibri" w:cs="Calibri"/>
        <w:sz w:val="18"/>
        <w:szCs w:val="18"/>
      </w:rPr>
      <w:instrText>NUMPAGES</w:instrText>
    </w:r>
    <w:r>
      <w:rPr>
        <w:rFonts w:ascii="Calibri" w:hAnsi="Calibri" w:cs="Calibri"/>
        <w:sz w:val="18"/>
        <w:szCs w:val="18"/>
      </w:rPr>
      <w:fldChar w:fldCharType="separate"/>
    </w:r>
    <w:r>
      <w:rPr>
        <w:rFonts w:ascii="Calibri" w:hAnsi="Calibri" w:cs="Calibri"/>
        <w:noProof/>
        <w:sz w:val="18"/>
        <w:szCs w:val="18"/>
      </w:rPr>
      <w:t>142</w:t>
    </w:r>
    <w:r>
      <w:rPr>
        <w:rFonts w:ascii="Calibri" w:hAnsi="Calibri" w:cs="Calibri"/>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id="1">
    <w:p>
      <w:pPr>
        <w:pStyle w:val="Notedebasdepage"/>
        <w:jc w:val="both"/>
        <w:rPr>
          <w:rFonts w:ascii="Calibri" w:hAnsi="Calibri" w:cs="Calibri"/>
        </w:rPr>
      </w:pPr>
      <w:r>
        <w:rPr>
          <w:rStyle w:val="Appelnotedebasdep"/>
          <w:rFonts w:ascii="Calibri" w:hAnsi="Calibri" w:cs="Calibri"/>
        </w:rPr>
        <w:footnoteRef/>
      </w:r>
      <w:r>
        <w:rPr>
          <w:rFonts w:ascii="Calibri" w:hAnsi="Calibri" w:cs="Calibri"/>
        </w:rPr>
        <w:t xml:space="preserve"> </w:t>
      </w:r>
      <w:r>
        <w:rPr>
          <w:rFonts w:ascii="Calibri" w:hAnsi="Calibri" w:cs="Calibri"/>
          <w:sz w:val="16"/>
          <w:szCs w:val="16"/>
        </w:rPr>
        <w:t>Accord de coopération du 20 mars 2014 conclu entre la Communauté française, la Région wallonne et la Commission communautaire française relatif à la mise en œuvre des bassins Enseignement qualifiant – Formation - Emploi</w:t>
      </w:r>
    </w:p>
  </w:footnote>
  <w:footnote w:id="2">
    <w:p>
      <w:pPr>
        <w:pStyle w:val="Notedebasdepage"/>
        <w:jc w:val="both"/>
        <w:rPr>
          <w:rFonts w:ascii="Calibri" w:hAnsi="Calibri" w:cs="Calibri"/>
          <w:sz w:val="16"/>
          <w:szCs w:val="16"/>
        </w:rPr>
      </w:pPr>
      <w:r>
        <w:rPr>
          <w:rStyle w:val="Appelnotedebasdep"/>
          <w:rFonts w:ascii="Calibri" w:hAnsi="Calibri" w:cs="Calibri"/>
          <w:sz w:val="16"/>
          <w:szCs w:val="16"/>
        </w:rPr>
        <w:footnoteRef/>
      </w:r>
      <w:r>
        <w:rPr>
          <w:rFonts w:ascii="Calibri" w:hAnsi="Calibri" w:cs="Calibri"/>
          <w:sz w:val="16"/>
          <w:szCs w:val="16"/>
        </w:rPr>
        <w:t xml:space="preserve"> Les structures habilitées à contracter une convention sont les pouvoirs organisateurs des établissements scolaires fréquentant le CTA, à savoir les Provinces et Communes pour les établissements du réseau officiel subventionné, la Fédération Wallonie-Bruxelles pour les établissements qu’elle organise et les ASBL concernées pour les établissements du réseau libre subventionné.</w:t>
      </w:r>
    </w:p>
  </w:footnote>
  <w:footnote w:id="3">
    <w:p>
      <w:pPr>
        <w:pStyle w:val="Notedebasdepage"/>
        <w:rPr>
          <w:rFonts w:asciiTheme="minorHAnsi" w:hAnsiTheme="minorHAnsi" w:cstheme="minorHAnsi"/>
          <w:sz w:val="16"/>
          <w:szCs w:val="16"/>
          <w:lang w:val="fr-BE"/>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Ces équipements sont financés à 50 % par la Fédération Wallonie-Bruxelles et à 50 % par la Commission communautaire francophone.</w:t>
      </w:r>
    </w:p>
  </w:footnote>
  <w:footnote w:id="4">
    <w:p>
      <w:pPr>
        <w:pStyle w:val="Notedebasdepage"/>
        <w:jc w:val="both"/>
        <w:rPr>
          <w:rFonts w:asciiTheme="minorHAnsi" w:hAnsiTheme="minorHAnsi" w:cstheme="minorHAnsi"/>
          <w:sz w:val="16"/>
          <w:szCs w:val="16"/>
          <w:lang w:val="fr-BE"/>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w:t>
      </w:r>
      <w:r>
        <w:rPr>
          <w:rFonts w:asciiTheme="minorHAnsi" w:hAnsiTheme="minorHAnsi" w:cstheme="minorHAnsi"/>
          <w:sz w:val="16"/>
          <w:szCs w:val="16"/>
          <w:lang w:val="fr-BE"/>
        </w:rPr>
        <w:t>Ces définitions sont issues du site Wikipédia.org</w:t>
      </w:r>
    </w:p>
  </w:footnote>
  <w:footnote w:id="5">
    <w:p>
      <w:pPr>
        <w:pStyle w:val="Notedebasdepage"/>
        <w:jc w:val="both"/>
        <w:rPr>
          <w:rFonts w:ascii="Calibri" w:hAnsi="Calibri" w:cs="Calibri"/>
          <w:sz w:val="16"/>
          <w:szCs w:val="16"/>
        </w:rPr>
      </w:pPr>
      <w:r>
        <w:rPr>
          <w:rStyle w:val="Appelnotedebasdep"/>
          <w:rFonts w:ascii="Calibri" w:hAnsi="Calibri" w:cs="Calibri"/>
          <w:sz w:val="16"/>
          <w:szCs w:val="16"/>
        </w:rPr>
        <w:footnoteRef/>
      </w:r>
      <w:r>
        <w:rPr>
          <w:rFonts w:ascii="Calibri" w:hAnsi="Calibri" w:cs="Calibri"/>
          <w:sz w:val="16"/>
          <w:szCs w:val="16"/>
        </w:rPr>
        <w:t xml:space="preserve"> La réglementation en matière de publicité est extraite du Règlement 1303/2013 du Parlement européen et du Conseil du 17 décembre 2013 relatif au Fonds européen de développement régional et aux dispositions particulières relatives à l’objectif « Investissement pour la croissance et l’emploi » et abrogeant le règlement (CE) n°1080/2006 ainsi que le règlement (UE) n°1303/2013 du Parlement européen et du Conseil du 17 décembre 2013 portant dispositions communes relatives au Fonds européen de développement régional, au Fonds social européen, au Fonds de cohésion, au Fonds européen agricole pour le développement rural et au Fonds européen pour les affaires maritimes et la pêche, portant dispositions générales applicables au Fonds européen de développement régional, au Fonds social européen, au Fonds de cohésion, au Fonds européen agricole pour le développement rural et au Fonds européen pour les affaires maritimes et la pêche, et abrogeant le règlement (CE) n°1083/2006 du Conseil (article 115, annexe XII).</w:t>
      </w:r>
    </w:p>
  </w:footnote>
  <w:footnote w:id="6">
    <w:p>
      <w:pPr>
        <w:pStyle w:val="Notedebasdepage"/>
        <w:jc w:val="both"/>
        <w:rPr>
          <w:rFonts w:ascii="Calibri" w:hAnsi="Calibri" w:cs="Calibri"/>
          <w:sz w:val="16"/>
          <w:szCs w:val="16"/>
        </w:rPr>
      </w:pPr>
      <w:r>
        <w:rPr>
          <w:rStyle w:val="Appelnotedebasdep"/>
          <w:rFonts w:ascii="Calibri" w:hAnsi="Calibri" w:cs="Calibri"/>
          <w:sz w:val="16"/>
          <w:szCs w:val="16"/>
        </w:rPr>
        <w:footnoteRef/>
      </w:r>
      <w:r>
        <w:rPr>
          <w:rFonts w:ascii="Calibri" w:hAnsi="Calibri" w:cs="Calibri"/>
          <w:sz w:val="16"/>
          <w:szCs w:val="16"/>
        </w:rPr>
        <w:t xml:space="preserve"> Les structures habilitées à contracter la présente convention sont les pouvoirs organisateurs des établissements scolaires hébergeant le CTA, à savoir les Provinces et Communes pour les établissements du réseau officiel subventionné, la Communauté française pour les établissements qu’elle organise et les ASBL concernées pour les établissements du réseau libre subventionné.</w:t>
      </w:r>
    </w:p>
  </w:footnote>
  <w:footnote w:id="7">
    <w:p>
      <w:pPr>
        <w:jc w:val="both"/>
        <w:rPr>
          <w:rFonts w:ascii="Calibri" w:hAnsi="Calibri" w:cs="Calibri"/>
          <w:sz w:val="16"/>
          <w:szCs w:val="16"/>
        </w:rPr>
      </w:pPr>
      <w:r>
        <w:rPr>
          <w:rStyle w:val="Appelnotedebasdep"/>
          <w:rFonts w:ascii="Calibri" w:hAnsi="Calibri" w:cs="Calibri"/>
          <w:sz w:val="16"/>
          <w:szCs w:val="16"/>
        </w:rPr>
        <w:footnoteRef/>
      </w:r>
      <w:r>
        <w:rPr>
          <w:rFonts w:ascii="Calibri" w:hAnsi="Calibri" w:cs="Calibri"/>
          <w:sz w:val="16"/>
          <w:szCs w:val="16"/>
        </w:rPr>
        <w:t xml:space="preserve"> La personne signataire de cette convention doit être habilitée à engager le pouvoir organisateur.</w:t>
      </w:r>
    </w:p>
  </w:footnote>
  <w:footnote w:id="8">
    <w:p>
      <w:pPr>
        <w:pStyle w:val="Notedebasdepage"/>
        <w:jc w:val="both"/>
        <w:rPr>
          <w:rFonts w:ascii="Calibri" w:hAnsi="Calibri" w:cs="Calibri"/>
        </w:rPr>
      </w:pPr>
      <w:r>
        <w:rPr>
          <w:rStyle w:val="Appelnotedebasdep"/>
          <w:rFonts w:ascii="Calibri" w:hAnsi="Calibri" w:cs="Calibri"/>
          <w:sz w:val="16"/>
          <w:szCs w:val="16"/>
        </w:rPr>
        <w:footnoteRef/>
      </w:r>
      <w:r>
        <w:rPr>
          <w:rFonts w:ascii="Calibri" w:hAnsi="Calibri" w:cs="Calibri"/>
          <w:sz w:val="16"/>
          <w:szCs w:val="16"/>
        </w:rPr>
        <w:t xml:space="preserve"> Les structures habilitées à contracter la présente convention sont les pouvoirs organisateurs des établissements scolaires utilisateurs, à savoir les Provinces et Communes pour les établissements du réseau officiel subventionné, la Communauté française pour les établissements qu’elle organise et les ASBL concernées pour les établissements du réseau libre subventionné.</w:t>
      </w:r>
    </w:p>
  </w:footnote>
  <w:footnote w:id="9">
    <w:p>
      <w:pPr>
        <w:jc w:val="both"/>
        <w:rPr>
          <w:rFonts w:ascii="Calibri" w:hAnsi="Calibri" w:cs="Calibri"/>
          <w:sz w:val="16"/>
          <w:szCs w:val="16"/>
        </w:rPr>
      </w:pPr>
      <w:r>
        <w:rPr>
          <w:rStyle w:val="Appelnotedebasdep"/>
          <w:rFonts w:ascii="Calibri" w:hAnsi="Calibri" w:cs="Calibri"/>
          <w:sz w:val="16"/>
          <w:szCs w:val="16"/>
        </w:rPr>
        <w:footnoteRef/>
      </w:r>
      <w:r>
        <w:rPr>
          <w:rFonts w:ascii="Calibri" w:hAnsi="Calibri" w:cs="Calibri"/>
          <w:sz w:val="16"/>
          <w:szCs w:val="16"/>
        </w:rPr>
        <w:t xml:space="preserve"> La personne signataire de cette convention doit être habilitée à engager le pouvoir organisateur.</w:t>
      </w:r>
    </w:p>
  </w:footnote>
  <w:footnote w:id="10">
    <w:p>
      <w:pPr>
        <w:pStyle w:val="Notedebasdepage"/>
        <w:jc w:val="both"/>
        <w:rPr>
          <w:rFonts w:asciiTheme="minorHAnsi" w:hAnsiTheme="minorHAnsi" w:cstheme="minorHAnsi"/>
          <w:sz w:val="16"/>
          <w:szCs w:val="16"/>
          <w:lang w:val="fr-BE"/>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w:t>
      </w:r>
      <w:r>
        <w:rPr>
          <w:rFonts w:asciiTheme="minorHAnsi" w:hAnsiTheme="minorHAnsi" w:cstheme="minorHAnsi"/>
          <w:sz w:val="16"/>
          <w:szCs w:val="16"/>
          <w:lang w:val="fr-BE"/>
        </w:rPr>
        <w:t>Cf. Arrêté royal du 12 février 1976 fixant les conditions auxquelles les objets produits ou les services rendus par un établissement d’enseignement peuvent être aliénés ou loués</w:t>
      </w:r>
    </w:p>
  </w:footnote>
  <w:footnote w:id="11">
    <w:p>
      <w:pPr>
        <w:pStyle w:val="Notedebasdepage"/>
        <w:jc w:val="both"/>
        <w:rPr>
          <w:rFonts w:ascii="Calibri" w:hAnsi="Calibri" w:cs="Calibri"/>
        </w:rPr>
      </w:pPr>
      <w:r>
        <w:rPr>
          <w:rStyle w:val="Appelnotedebasdep"/>
          <w:rFonts w:ascii="Calibri" w:hAnsi="Calibri" w:cs="Calibri"/>
          <w:sz w:val="16"/>
          <w:szCs w:val="16"/>
        </w:rPr>
        <w:footnoteRef/>
      </w:r>
      <w:r>
        <w:rPr>
          <w:rFonts w:ascii="Calibri" w:hAnsi="Calibri" w:cs="Calibri"/>
          <w:sz w:val="16"/>
          <w:szCs w:val="16"/>
        </w:rPr>
        <w:t xml:space="preserve"> Les structures habilitées à contracter la présente convention sont les pouvoirs organisateurs des établissements scolaires hébergeant le CTA, à savoir les Provinces et Communes pour les établissements du réseau officiel subventionné, la Communauté française pour les établissements qu’elle organise et les ASBL concernées pour les établissements du réseau libre subventionné.</w:t>
      </w:r>
    </w:p>
  </w:footnote>
  <w:footnote w:id="12">
    <w:p>
      <w:pPr>
        <w:jc w:val="both"/>
        <w:rPr>
          <w:rFonts w:ascii="Calibri" w:hAnsi="Calibri" w:cs="Calibri"/>
          <w:sz w:val="16"/>
          <w:szCs w:val="16"/>
        </w:rPr>
      </w:pPr>
      <w:r>
        <w:rPr>
          <w:rStyle w:val="Appelnotedebasdep"/>
          <w:rFonts w:ascii="Calibri" w:hAnsi="Calibri" w:cs="Calibri"/>
          <w:sz w:val="16"/>
          <w:szCs w:val="16"/>
        </w:rPr>
        <w:footnoteRef/>
      </w:r>
      <w:r>
        <w:rPr>
          <w:rFonts w:ascii="Calibri" w:hAnsi="Calibri" w:cs="Calibri"/>
          <w:sz w:val="16"/>
          <w:szCs w:val="16"/>
        </w:rPr>
        <w:t xml:space="preserve"> La personne signataire de cette convention doit être habilitée à engager le pouvoir organisateur.</w:t>
      </w:r>
    </w:p>
  </w:footnote>
  <w:footnote w:id="13">
    <w:p>
      <w:pPr>
        <w:pStyle w:val="Notedebasdepage"/>
        <w:jc w:val="both"/>
        <w:rPr>
          <w:rFonts w:ascii="Calibri" w:hAnsi="Calibri" w:cs="Calibri"/>
        </w:rPr>
      </w:pPr>
      <w:r>
        <w:rPr>
          <w:rStyle w:val="Appelnotedebasdep"/>
          <w:rFonts w:ascii="Calibri" w:hAnsi="Calibri" w:cs="Calibri"/>
          <w:sz w:val="16"/>
          <w:szCs w:val="16"/>
        </w:rPr>
        <w:footnoteRef/>
      </w:r>
      <w:r>
        <w:rPr>
          <w:rFonts w:ascii="Calibri" w:hAnsi="Calibri" w:cs="Calibri"/>
          <w:sz w:val="16"/>
          <w:szCs w:val="16"/>
        </w:rPr>
        <w:t xml:space="preserve"> Les structures habilitées à contracter la présente convention sont les pouvoirs organisateurs des établissements scolaires utilisateurs, à savoir les Provinces et Communes pour les établissements du réseau officiel subventionné, la Communauté française pour les établissements qu’elle organise et les ASBL concernées pour les établissements du réseau libre subventionné.</w:t>
      </w:r>
    </w:p>
  </w:footnote>
  <w:footnote w:id="14">
    <w:p>
      <w:pPr>
        <w:jc w:val="both"/>
        <w:rPr>
          <w:rFonts w:ascii="Calibri" w:hAnsi="Calibri" w:cs="Calibri"/>
          <w:sz w:val="16"/>
          <w:szCs w:val="16"/>
        </w:rPr>
      </w:pPr>
      <w:r>
        <w:rPr>
          <w:rStyle w:val="Appelnotedebasdep"/>
          <w:rFonts w:ascii="Calibri" w:hAnsi="Calibri" w:cs="Calibri"/>
          <w:sz w:val="16"/>
          <w:szCs w:val="16"/>
        </w:rPr>
        <w:footnoteRef/>
      </w:r>
      <w:r>
        <w:rPr>
          <w:rFonts w:ascii="Calibri" w:hAnsi="Calibri" w:cs="Calibri"/>
          <w:sz w:val="16"/>
          <w:szCs w:val="16"/>
        </w:rPr>
        <w:t xml:space="preserve"> La personne signataire de cette convention doit être habilitée à engager le pouvoir organisateur.</w:t>
      </w:r>
    </w:p>
  </w:footnote>
  <w:footnote w:id="15">
    <w:p>
      <w:pPr>
        <w:pStyle w:val="Notedebasdepage"/>
        <w:jc w:val="both"/>
        <w:rPr>
          <w:lang w:val="fr-BE"/>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w:t>
      </w:r>
      <w:r>
        <w:rPr>
          <w:rFonts w:asciiTheme="minorHAnsi" w:hAnsiTheme="minorHAnsi" w:cstheme="minorHAnsi"/>
          <w:sz w:val="16"/>
          <w:szCs w:val="16"/>
          <w:lang w:val="fr-BE"/>
        </w:rPr>
        <w:t>Cf. Arrêté royal du 12 février 1976 fixant les conditions auxquelles les objets produits ou les services rendus par un établissement d’enseignement peuvent être aliénés ou loués</w:t>
      </w:r>
    </w:p>
  </w:footnote>
  <w:footnote w:id="16">
    <w:p>
      <w:pPr>
        <w:pStyle w:val="Notedebasdepage"/>
        <w:jc w:val="both"/>
        <w:rPr>
          <w:rFonts w:asciiTheme="minorHAnsi" w:hAnsiTheme="minorHAnsi" w:cstheme="minorHAnsi"/>
          <w:sz w:val="16"/>
          <w:szCs w:val="16"/>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w:t>
      </w:r>
      <w:r>
        <w:rPr>
          <w:rFonts w:asciiTheme="minorHAnsi" w:hAnsiTheme="minorHAnsi" w:cstheme="minorHAnsi"/>
          <w:sz w:val="16"/>
          <w:szCs w:val="16"/>
          <w:lang w:val="fr-BE"/>
        </w:rPr>
        <w:t>Biffer la mention inutile. Les tarifs sont différents selon les besoins et établis par la Communauté française.</w:t>
      </w:r>
    </w:p>
  </w:footnote>
  <w:footnote w:id="17">
    <w:p>
      <w:pPr>
        <w:pStyle w:val="Notedebasdepage"/>
        <w:jc w:val="both"/>
        <w:rPr>
          <w:rFonts w:asciiTheme="minorHAnsi" w:hAnsiTheme="minorHAnsi" w:cstheme="minorHAnsi"/>
          <w:sz w:val="16"/>
          <w:szCs w:val="16"/>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w:t>
      </w:r>
      <w:r>
        <w:rPr>
          <w:rFonts w:asciiTheme="minorHAnsi" w:hAnsiTheme="minorHAnsi" w:cstheme="minorHAnsi"/>
          <w:sz w:val="16"/>
          <w:szCs w:val="16"/>
          <w:lang w:val="fr-BE"/>
        </w:rPr>
        <w:t>Ainsi, une formation d’une journée pour 6 stagiaires coûtera 60 € ou 90 € ou 120 € ou 150 € selon le cas.</w:t>
      </w:r>
    </w:p>
  </w:footnote>
  <w:footnote w:id="18">
    <w:p>
      <w:pPr>
        <w:pStyle w:val="Notedebasdepage"/>
        <w:jc w:val="both"/>
        <w:rPr>
          <w:rFonts w:ascii="Calibri" w:hAnsi="Calibri" w:cs="Calibri"/>
        </w:rPr>
      </w:pPr>
      <w:r>
        <w:rPr>
          <w:rStyle w:val="Appelnotedebasdep"/>
          <w:rFonts w:ascii="Calibri" w:hAnsi="Calibri" w:cs="Calibri"/>
          <w:sz w:val="16"/>
          <w:szCs w:val="16"/>
        </w:rPr>
        <w:footnoteRef/>
      </w:r>
      <w:r>
        <w:rPr>
          <w:rFonts w:ascii="Calibri" w:hAnsi="Calibri" w:cs="Calibri"/>
          <w:sz w:val="16"/>
          <w:szCs w:val="16"/>
        </w:rPr>
        <w:t xml:space="preserve"> Les structures habilitées à contracter la présente convention sont les pouvoirs organisateurs des établissements scolaires hébergeant le CTA, à savoir les Provinces et Communes pour les établissements du réseau officiel subventionné, la Communauté française pour les établissements qu’elle organise et les ASBL concernées pour les établissements du réseau libre subventionné.</w:t>
      </w:r>
    </w:p>
  </w:footnote>
  <w:footnote w:id="19">
    <w:p>
      <w:pPr>
        <w:jc w:val="both"/>
        <w:rPr>
          <w:rFonts w:ascii="Calibri" w:hAnsi="Calibri" w:cs="Calibri"/>
          <w:sz w:val="16"/>
          <w:szCs w:val="16"/>
        </w:rPr>
      </w:pPr>
      <w:r>
        <w:rPr>
          <w:rStyle w:val="Appelnotedebasdep"/>
          <w:rFonts w:ascii="Calibri" w:hAnsi="Calibri" w:cs="Calibri"/>
          <w:sz w:val="16"/>
          <w:szCs w:val="16"/>
        </w:rPr>
        <w:footnoteRef/>
      </w:r>
      <w:r>
        <w:rPr>
          <w:rFonts w:ascii="Calibri" w:hAnsi="Calibri" w:cs="Calibri"/>
          <w:sz w:val="16"/>
          <w:szCs w:val="16"/>
        </w:rPr>
        <w:t xml:space="preserve"> La personne signataire de cette convention doit être habilitée à engager le pouvoir organisateur.</w:t>
      </w:r>
    </w:p>
  </w:footnote>
  <w:footnote w:id="20">
    <w:p>
      <w:pPr>
        <w:pStyle w:val="Notedebasdepage"/>
        <w:jc w:val="both"/>
        <w:rPr>
          <w:rFonts w:ascii="Calibri" w:hAnsi="Calibri" w:cs="Calibri"/>
        </w:rPr>
      </w:pPr>
      <w:r>
        <w:rPr>
          <w:rStyle w:val="Appelnotedebasdep"/>
          <w:rFonts w:ascii="Calibri" w:hAnsi="Calibri" w:cs="Calibri"/>
          <w:sz w:val="16"/>
          <w:szCs w:val="16"/>
        </w:rPr>
        <w:footnoteRef/>
      </w:r>
      <w:r>
        <w:rPr>
          <w:rFonts w:ascii="Calibri" w:hAnsi="Calibri" w:cs="Calibri"/>
          <w:sz w:val="16"/>
          <w:szCs w:val="16"/>
        </w:rPr>
        <w:t xml:space="preserve"> Les structures habilitées à contracter la présente convention sont les pouvoirs organisateurs des établissements scolaires utilisateurs, à savoir les Provinces et Communes pour les établissements du réseau officiel subventionné, la Communauté française pour les établissements qu’elle organise et les ASBL concernées pour les établissements du réseau libre subventionné.</w:t>
      </w:r>
    </w:p>
  </w:footnote>
  <w:footnote w:id="21">
    <w:p>
      <w:pPr>
        <w:jc w:val="both"/>
        <w:rPr>
          <w:rFonts w:ascii="Calibri" w:hAnsi="Calibri" w:cs="Calibri"/>
          <w:sz w:val="16"/>
          <w:szCs w:val="16"/>
        </w:rPr>
      </w:pPr>
      <w:r>
        <w:rPr>
          <w:rStyle w:val="Appelnotedebasdep"/>
          <w:rFonts w:ascii="Calibri" w:hAnsi="Calibri" w:cs="Calibri"/>
          <w:sz w:val="16"/>
          <w:szCs w:val="16"/>
        </w:rPr>
        <w:footnoteRef/>
      </w:r>
      <w:r>
        <w:rPr>
          <w:rFonts w:ascii="Calibri" w:hAnsi="Calibri" w:cs="Calibri"/>
          <w:sz w:val="16"/>
          <w:szCs w:val="16"/>
        </w:rPr>
        <w:t xml:space="preserve"> La personne signataire de cette convention doit être habilitée à engager le pouvoir organisateur.</w:t>
      </w:r>
    </w:p>
  </w:footnote>
  <w:footnote w:id="22">
    <w:p>
      <w:pPr>
        <w:pStyle w:val="Notedebasdepage"/>
        <w:jc w:val="both"/>
        <w:rPr>
          <w:rFonts w:asciiTheme="minorHAnsi" w:hAnsiTheme="minorHAnsi" w:cstheme="minorHAnsi"/>
          <w:sz w:val="16"/>
          <w:szCs w:val="16"/>
          <w:lang w:val="fr-BE"/>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w:t>
      </w:r>
      <w:r>
        <w:rPr>
          <w:rFonts w:asciiTheme="minorHAnsi" w:hAnsiTheme="minorHAnsi" w:cstheme="minorHAnsi"/>
          <w:sz w:val="16"/>
          <w:szCs w:val="16"/>
          <w:lang w:val="fr-BE"/>
        </w:rPr>
        <w:t>Cf. Arrêté royal du 12 février 1976 fixant les conditions auxquelles les objets produits ou les services rendus par un établissement d’enseignement peuvent être aliénés ou loués</w:t>
      </w:r>
    </w:p>
  </w:footnote>
  <w:footnote w:id="23">
    <w:p>
      <w:pPr>
        <w:pStyle w:val="Notedebasdepage"/>
        <w:jc w:val="both"/>
        <w:rPr>
          <w:rFonts w:asciiTheme="minorHAnsi" w:hAnsiTheme="minorHAnsi" w:cstheme="minorHAnsi"/>
          <w:sz w:val="16"/>
          <w:szCs w:val="16"/>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w:t>
      </w:r>
      <w:r>
        <w:rPr>
          <w:rFonts w:asciiTheme="minorHAnsi" w:hAnsiTheme="minorHAnsi" w:cstheme="minorHAnsi"/>
          <w:sz w:val="16"/>
          <w:szCs w:val="16"/>
          <w:lang w:val="fr-BE"/>
        </w:rPr>
        <w:t>Biffer la mention inutile. Les tarifs sont différents selon les besoins et établis par la Communauté française.</w:t>
      </w:r>
    </w:p>
  </w:footnote>
  <w:footnote w:id="24">
    <w:p>
      <w:pPr>
        <w:pStyle w:val="Notedebasdepage"/>
        <w:rPr>
          <w:rFonts w:asciiTheme="minorHAnsi" w:hAnsiTheme="minorHAnsi" w:cstheme="minorHAnsi"/>
          <w:sz w:val="16"/>
          <w:szCs w:val="16"/>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w:t>
      </w:r>
      <w:r>
        <w:rPr>
          <w:rFonts w:asciiTheme="minorHAnsi" w:hAnsiTheme="minorHAnsi" w:cstheme="minorHAnsi"/>
          <w:sz w:val="16"/>
          <w:szCs w:val="16"/>
          <w:lang w:val="fr-BE"/>
        </w:rPr>
        <w:t>Ainsi, une formation d’une journée pour 6 stagiaires coûtera 60 € ou 90 € ou 120 € ou 150 € selon le cas.</w:t>
      </w:r>
    </w:p>
  </w:footnote>
  <w:footnote w:id="25">
    <w:p>
      <w:pPr>
        <w:pStyle w:val="Notedebasdepage"/>
        <w:jc w:val="both"/>
        <w:rPr>
          <w:rFonts w:ascii="Calibri" w:hAnsi="Calibri" w:cs="Calibri"/>
        </w:rPr>
      </w:pPr>
      <w:r>
        <w:rPr>
          <w:rStyle w:val="Appelnotedebasdep"/>
          <w:rFonts w:ascii="Calibri" w:hAnsi="Calibri" w:cs="Calibri"/>
          <w:sz w:val="16"/>
          <w:szCs w:val="16"/>
        </w:rPr>
        <w:footnoteRef/>
      </w:r>
      <w:r>
        <w:rPr>
          <w:rFonts w:ascii="Calibri" w:hAnsi="Calibri" w:cs="Calibri"/>
          <w:sz w:val="16"/>
          <w:szCs w:val="16"/>
        </w:rPr>
        <w:t xml:space="preserve"> Les structures habilitées à contracter la présente convention sont les pouvoirs organisateurs des établissements scolaires hébergeant le CTA, à savoir les Provinces et Communes pour les établissements du réseau officiel subventionné, la Communauté française pour les établissements qu’elle organise et les ASBL concernées pour les établissements du réseau libre subventionné.</w:t>
      </w:r>
    </w:p>
  </w:footnote>
  <w:footnote w:id="26">
    <w:p>
      <w:pPr>
        <w:jc w:val="both"/>
        <w:rPr>
          <w:rFonts w:ascii="Calibri" w:hAnsi="Calibri" w:cs="Calibri"/>
          <w:sz w:val="16"/>
          <w:szCs w:val="16"/>
        </w:rPr>
      </w:pPr>
      <w:r>
        <w:rPr>
          <w:rStyle w:val="Appelnotedebasdep"/>
          <w:rFonts w:ascii="Calibri" w:hAnsi="Calibri" w:cs="Calibri"/>
          <w:sz w:val="16"/>
          <w:szCs w:val="16"/>
        </w:rPr>
        <w:footnoteRef/>
      </w:r>
      <w:r>
        <w:rPr>
          <w:rFonts w:ascii="Calibri" w:hAnsi="Calibri" w:cs="Calibri"/>
          <w:sz w:val="16"/>
          <w:szCs w:val="16"/>
        </w:rPr>
        <w:t xml:space="preserve"> La personne signataire de cette convention doit être habilitée à engager le pouvoir organisateur.</w:t>
      </w:r>
    </w:p>
  </w:footnote>
  <w:footnote w:id="27">
    <w:p>
      <w:pPr>
        <w:pStyle w:val="Notedebasdepage"/>
        <w:jc w:val="both"/>
        <w:rPr>
          <w:rFonts w:asciiTheme="minorHAnsi" w:hAnsiTheme="minorHAnsi" w:cstheme="minorHAnsi"/>
          <w:sz w:val="16"/>
          <w:szCs w:val="16"/>
          <w:lang w:val="fr-BE"/>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w:t>
      </w:r>
      <w:r>
        <w:rPr>
          <w:rFonts w:asciiTheme="minorHAnsi" w:hAnsiTheme="minorHAnsi" w:cstheme="minorHAnsi"/>
          <w:sz w:val="16"/>
          <w:szCs w:val="16"/>
          <w:lang w:val="fr-BE"/>
        </w:rPr>
        <w:t>Cf. Arrêté royal du 12 février 1976 fixant les conditions auxquelles les objets produits ou les services rendus par un établissement d’enseignement peuvent être aliénés ou loués</w:t>
      </w:r>
    </w:p>
  </w:footnote>
  <w:footnote w:id="28">
    <w:p>
      <w:pPr>
        <w:pStyle w:val="Notedebasdepage"/>
        <w:jc w:val="both"/>
        <w:rPr>
          <w:rFonts w:asciiTheme="minorHAnsi" w:hAnsiTheme="minorHAnsi" w:cstheme="minorHAnsi"/>
          <w:sz w:val="16"/>
          <w:szCs w:val="16"/>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w:t>
      </w:r>
      <w:r>
        <w:rPr>
          <w:rFonts w:asciiTheme="minorHAnsi" w:hAnsiTheme="minorHAnsi" w:cstheme="minorHAnsi"/>
          <w:sz w:val="16"/>
          <w:szCs w:val="16"/>
          <w:lang w:val="fr-BE"/>
        </w:rPr>
        <w:t>Biffer la mention inutile. Les tarifs sont différents selon les besoins et établis par la Communauté française.</w:t>
      </w:r>
    </w:p>
  </w:footnote>
  <w:footnote w:id="29">
    <w:p>
      <w:pPr>
        <w:pStyle w:val="Notedebasdepage"/>
        <w:rPr>
          <w:rFonts w:asciiTheme="minorHAnsi" w:hAnsiTheme="minorHAnsi" w:cstheme="minorHAnsi"/>
          <w:sz w:val="16"/>
          <w:szCs w:val="16"/>
        </w:rPr>
      </w:pPr>
      <w:r>
        <w:rPr>
          <w:rStyle w:val="Appelnotedebasdep"/>
          <w:rFonts w:asciiTheme="minorHAnsi" w:hAnsiTheme="minorHAnsi" w:cstheme="minorHAnsi"/>
          <w:sz w:val="16"/>
          <w:szCs w:val="16"/>
        </w:rPr>
        <w:footnoteRef/>
      </w:r>
      <w:r>
        <w:rPr>
          <w:rFonts w:asciiTheme="minorHAnsi" w:hAnsiTheme="minorHAnsi" w:cstheme="minorHAnsi"/>
          <w:sz w:val="16"/>
          <w:szCs w:val="16"/>
        </w:rPr>
        <w:t xml:space="preserve"> </w:t>
      </w:r>
      <w:r>
        <w:rPr>
          <w:rFonts w:asciiTheme="minorHAnsi" w:hAnsiTheme="minorHAnsi" w:cstheme="minorHAnsi"/>
          <w:sz w:val="16"/>
          <w:szCs w:val="16"/>
          <w:lang w:val="fr-BE"/>
        </w:rPr>
        <w:t>Ainsi, une formation d’une journée pour 6 stagiaires coûtera 60 € ou 90 € ou 120 € ou 150 € selon le cas.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tabs>
        <w:tab w:val="clear" w:pos="4536"/>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4384D"/>
    <w:multiLevelType w:val="hybridMultilevel"/>
    <w:tmpl w:val="4B5A2CF0"/>
    <w:lvl w:ilvl="0" w:tplc="548850F6">
      <w:start w:val="3"/>
      <w:numFmt w:val="bullet"/>
      <w:lvlText w:val=""/>
      <w:lvlJc w:val="left"/>
      <w:pPr>
        <w:tabs>
          <w:tab w:val="num" w:pos="1440"/>
        </w:tabs>
        <w:ind w:left="144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4142D8"/>
    <w:multiLevelType w:val="hybridMultilevel"/>
    <w:tmpl w:val="2CD07388"/>
    <w:lvl w:ilvl="0" w:tplc="10782444">
      <w:start w:val="1"/>
      <w:numFmt w:val="bullet"/>
      <w:lvlText w:val="-"/>
      <w:lvlJc w:val="left"/>
      <w:pPr>
        <w:ind w:left="1080" w:hanging="360"/>
      </w:pPr>
      <w:rPr>
        <w:rFonts w:ascii="Times New Roman" w:eastAsia="Times New Roman" w:hAnsi="Times New Roman" w:cs="Times New Roman"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2" w15:restartNumberingAfterBreak="0">
    <w:nsid w:val="020E778A"/>
    <w:multiLevelType w:val="hybridMultilevel"/>
    <w:tmpl w:val="5D38921C"/>
    <w:lvl w:ilvl="0" w:tplc="C80615E4">
      <w:start w:val="1"/>
      <w:numFmt w:val="bullet"/>
      <w:lvlText w:val="-"/>
      <w:lvlJc w:val="left"/>
      <w:pPr>
        <w:tabs>
          <w:tab w:val="num" w:pos="1068"/>
        </w:tabs>
        <w:ind w:left="1068" w:hanging="360"/>
      </w:pPr>
      <w:rPr>
        <w:rFonts w:ascii="Times New Roman" w:hAnsi="Times New Roman" w:hint="default"/>
      </w:rPr>
    </w:lvl>
    <w:lvl w:ilvl="1" w:tplc="3210DB9E" w:tentative="1">
      <w:start w:val="1"/>
      <w:numFmt w:val="bullet"/>
      <w:lvlText w:val="-"/>
      <w:lvlJc w:val="left"/>
      <w:pPr>
        <w:tabs>
          <w:tab w:val="num" w:pos="1788"/>
        </w:tabs>
        <w:ind w:left="1788" w:hanging="360"/>
      </w:pPr>
      <w:rPr>
        <w:rFonts w:ascii="Times New Roman" w:hAnsi="Times New Roman" w:hint="default"/>
      </w:rPr>
    </w:lvl>
    <w:lvl w:ilvl="2" w:tplc="DD50FA5A">
      <w:start w:val="164"/>
      <w:numFmt w:val="bullet"/>
      <w:lvlText w:val="-"/>
      <w:lvlJc w:val="left"/>
      <w:pPr>
        <w:tabs>
          <w:tab w:val="num" w:pos="2508"/>
        </w:tabs>
        <w:ind w:left="2508" w:hanging="360"/>
      </w:pPr>
      <w:rPr>
        <w:rFonts w:ascii="Times New Roman" w:hAnsi="Times New Roman" w:hint="default"/>
      </w:rPr>
    </w:lvl>
    <w:lvl w:ilvl="3" w:tplc="120C98AE" w:tentative="1">
      <w:start w:val="1"/>
      <w:numFmt w:val="bullet"/>
      <w:lvlText w:val="-"/>
      <w:lvlJc w:val="left"/>
      <w:pPr>
        <w:tabs>
          <w:tab w:val="num" w:pos="3228"/>
        </w:tabs>
        <w:ind w:left="3228" w:hanging="360"/>
      </w:pPr>
      <w:rPr>
        <w:rFonts w:ascii="Times New Roman" w:hAnsi="Times New Roman" w:hint="default"/>
      </w:rPr>
    </w:lvl>
    <w:lvl w:ilvl="4" w:tplc="C1F8FFBA" w:tentative="1">
      <w:start w:val="1"/>
      <w:numFmt w:val="bullet"/>
      <w:lvlText w:val="-"/>
      <w:lvlJc w:val="left"/>
      <w:pPr>
        <w:tabs>
          <w:tab w:val="num" w:pos="3948"/>
        </w:tabs>
        <w:ind w:left="3948" w:hanging="360"/>
      </w:pPr>
      <w:rPr>
        <w:rFonts w:ascii="Times New Roman" w:hAnsi="Times New Roman" w:hint="default"/>
      </w:rPr>
    </w:lvl>
    <w:lvl w:ilvl="5" w:tplc="4F5AB5D8" w:tentative="1">
      <w:start w:val="1"/>
      <w:numFmt w:val="bullet"/>
      <w:lvlText w:val="-"/>
      <w:lvlJc w:val="left"/>
      <w:pPr>
        <w:tabs>
          <w:tab w:val="num" w:pos="4668"/>
        </w:tabs>
        <w:ind w:left="4668" w:hanging="360"/>
      </w:pPr>
      <w:rPr>
        <w:rFonts w:ascii="Times New Roman" w:hAnsi="Times New Roman" w:hint="default"/>
      </w:rPr>
    </w:lvl>
    <w:lvl w:ilvl="6" w:tplc="9BCC62C6" w:tentative="1">
      <w:start w:val="1"/>
      <w:numFmt w:val="bullet"/>
      <w:lvlText w:val="-"/>
      <w:lvlJc w:val="left"/>
      <w:pPr>
        <w:tabs>
          <w:tab w:val="num" w:pos="5388"/>
        </w:tabs>
        <w:ind w:left="5388" w:hanging="360"/>
      </w:pPr>
      <w:rPr>
        <w:rFonts w:ascii="Times New Roman" w:hAnsi="Times New Roman" w:hint="default"/>
      </w:rPr>
    </w:lvl>
    <w:lvl w:ilvl="7" w:tplc="CDD03672" w:tentative="1">
      <w:start w:val="1"/>
      <w:numFmt w:val="bullet"/>
      <w:lvlText w:val="-"/>
      <w:lvlJc w:val="left"/>
      <w:pPr>
        <w:tabs>
          <w:tab w:val="num" w:pos="6108"/>
        </w:tabs>
        <w:ind w:left="6108" w:hanging="360"/>
      </w:pPr>
      <w:rPr>
        <w:rFonts w:ascii="Times New Roman" w:hAnsi="Times New Roman" w:hint="default"/>
      </w:rPr>
    </w:lvl>
    <w:lvl w:ilvl="8" w:tplc="1F8A4646" w:tentative="1">
      <w:start w:val="1"/>
      <w:numFmt w:val="bullet"/>
      <w:lvlText w:val="-"/>
      <w:lvlJc w:val="left"/>
      <w:pPr>
        <w:tabs>
          <w:tab w:val="num" w:pos="6828"/>
        </w:tabs>
        <w:ind w:left="6828" w:hanging="360"/>
      </w:pPr>
      <w:rPr>
        <w:rFonts w:ascii="Times New Roman" w:hAnsi="Times New Roman" w:hint="default"/>
      </w:rPr>
    </w:lvl>
  </w:abstractNum>
  <w:abstractNum w:abstractNumId="3" w15:restartNumberingAfterBreak="0">
    <w:nsid w:val="02E000AF"/>
    <w:multiLevelType w:val="hybridMultilevel"/>
    <w:tmpl w:val="B770C8A8"/>
    <w:lvl w:ilvl="0" w:tplc="42D09CEE">
      <w:start w:val="1"/>
      <w:numFmt w:val="bullet"/>
      <w:lvlText w:val="-"/>
      <w:lvlJc w:val="left"/>
      <w:pPr>
        <w:tabs>
          <w:tab w:val="num" w:pos="2160"/>
        </w:tabs>
        <w:ind w:left="2160" w:hanging="360"/>
      </w:pPr>
      <w:rPr>
        <w:rFonts w:ascii="Arial" w:hAnsi="Aria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307A34"/>
    <w:multiLevelType w:val="hybridMultilevel"/>
    <w:tmpl w:val="FA6CB0D0"/>
    <w:lvl w:ilvl="0" w:tplc="B31E028E">
      <w:start w:val="1"/>
      <w:numFmt w:val="bullet"/>
      <w:lvlText w:val="-"/>
      <w:lvlJc w:val="left"/>
      <w:pPr>
        <w:tabs>
          <w:tab w:val="num" w:pos="1068"/>
        </w:tabs>
        <w:ind w:left="1068" w:hanging="360"/>
      </w:pPr>
      <w:rPr>
        <w:rFonts w:ascii="Times New Roman" w:hAnsi="Times New Roman" w:hint="default"/>
      </w:rPr>
    </w:lvl>
    <w:lvl w:ilvl="1" w:tplc="5AFCD07A" w:tentative="1">
      <w:start w:val="1"/>
      <w:numFmt w:val="bullet"/>
      <w:lvlText w:val="-"/>
      <w:lvlJc w:val="left"/>
      <w:pPr>
        <w:tabs>
          <w:tab w:val="num" w:pos="1788"/>
        </w:tabs>
        <w:ind w:left="1788" w:hanging="360"/>
      </w:pPr>
      <w:rPr>
        <w:rFonts w:ascii="Times New Roman" w:hAnsi="Times New Roman" w:hint="default"/>
      </w:rPr>
    </w:lvl>
    <w:lvl w:ilvl="2" w:tplc="5A2EF224">
      <w:start w:val="164"/>
      <w:numFmt w:val="bullet"/>
      <w:lvlText w:val="-"/>
      <w:lvlJc w:val="left"/>
      <w:pPr>
        <w:tabs>
          <w:tab w:val="num" w:pos="2508"/>
        </w:tabs>
        <w:ind w:left="2508" w:hanging="360"/>
      </w:pPr>
      <w:rPr>
        <w:rFonts w:ascii="Times New Roman" w:hAnsi="Times New Roman" w:hint="default"/>
      </w:rPr>
    </w:lvl>
    <w:lvl w:ilvl="3" w:tplc="DA44E6E8" w:tentative="1">
      <w:start w:val="1"/>
      <w:numFmt w:val="bullet"/>
      <w:lvlText w:val="-"/>
      <w:lvlJc w:val="left"/>
      <w:pPr>
        <w:tabs>
          <w:tab w:val="num" w:pos="3228"/>
        </w:tabs>
        <w:ind w:left="3228" w:hanging="360"/>
      </w:pPr>
      <w:rPr>
        <w:rFonts w:ascii="Times New Roman" w:hAnsi="Times New Roman" w:hint="default"/>
      </w:rPr>
    </w:lvl>
    <w:lvl w:ilvl="4" w:tplc="EB6E7960" w:tentative="1">
      <w:start w:val="1"/>
      <w:numFmt w:val="bullet"/>
      <w:lvlText w:val="-"/>
      <w:lvlJc w:val="left"/>
      <w:pPr>
        <w:tabs>
          <w:tab w:val="num" w:pos="3948"/>
        </w:tabs>
        <w:ind w:left="3948" w:hanging="360"/>
      </w:pPr>
      <w:rPr>
        <w:rFonts w:ascii="Times New Roman" w:hAnsi="Times New Roman" w:hint="default"/>
      </w:rPr>
    </w:lvl>
    <w:lvl w:ilvl="5" w:tplc="F56010B4" w:tentative="1">
      <w:start w:val="1"/>
      <w:numFmt w:val="bullet"/>
      <w:lvlText w:val="-"/>
      <w:lvlJc w:val="left"/>
      <w:pPr>
        <w:tabs>
          <w:tab w:val="num" w:pos="4668"/>
        </w:tabs>
        <w:ind w:left="4668" w:hanging="360"/>
      </w:pPr>
      <w:rPr>
        <w:rFonts w:ascii="Times New Roman" w:hAnsi="Times New Roman" w:hint="default"/>
      </w:rPr>
    </w:lvl>
    <w:lvl w:ilvl="6" w:tplc="30E63E4E" w:tentative="1">
      <w:start w:val="1"/>
      <w:numFmt w:val="bullet"/>
      <w:lvlText w:val="-"/>
      <w:lvlJc w:val="left"/>
      <w:pPr>
        <w:tabs>
          <w:tab w:val="num" w:pos="5388"/>
        </w:tabs>
        <w:ind w:left="5388" w:hanging="360"/>
      </w:pPr>
      <w:rPr>
        <w:rFonts w:ascii="Times New Roman" w:hAnsi="Times New Roman" w:hint="default"/>
      </w:rPr>
    </w:lvl>
    <w:lvl w:ilvl="7" w:tplc="A0E8708A" w:tentative="1">
      <w:start w:val="1"/>
      <w:numFmt w:val="bullet"/>
      <w:lvlText w:val="-"/>
      <w:lvlJc w:val="left"/>
      <w:pPr>
        <w:tabs>
          <w:tab w:val="num" w:pos="6108"/>
        </w:tabs>
        <w:ind w:left="6108" w:hanging="360"/>
      </w:pPr>
      <w:rPr>
        <w:rFonts w:ascii="Times New Roman" w:hAnsi="Times New Roman" w:hint="default"/>
      </w:rPr>
    </w:lvl>
    <w:lvl w:ilvl="8" w:tplc="C556259E" w:tentative="1">
      <w:start w:val="1"/>
      <w:numFmt w:val="bullet"/>
      <w:lvlText w:val="-"/>
      <w:lvlJc w:val="left"/>
      <w:pPr>
        <w:tabs>
          <w:tab w:val="num" w:pos="6828"/>
        </w:tabs>
        <w:ind w:left="6828" w:hanging="360"/>
      </w:pPr>
      <w:rPr>
        <w:rFonts w:ascii="Times New Roman" w:hAnsi="Times New Roman" w:hint="default"/>
      </w:rPr>
    </w:lvl>
  </w:abstractNum>
  <w:abstractNum w:abstractNumId="5" w15:restartNumberingAfterBreak="0">
    <w:nsid w:val="047D5F75"/>
    <w:multiLevelType w:val="hybridMultilevel"/>
    <w:tmpl w:val="F63ACC66"/>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 w15:restartNumberingAfterBreak="0">
    <w:nsid w:val="049F7B3C"/>
    <w:multiLevelType w:val="hybridMultilevel"/>
    <w:tmpl w:val="E848CA7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15:restartNumberingAfterBreak="0">
    <w:nsid w:val="04CD6D8A"/>
    <w:multiLevelType w:val="hybridMultilevel"/>
    <w:tmpl w:val="2D14DAC2"/>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 w15:restartNumberingAfterBreak="0">
    <w:nsid w:val="064A02B0"/>
    <w:multiLevelType w:val="hybridMultilevel"/>
    <w:tmpl w:val="1BDE759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9" w15:restartNumberingAfterBreak="0">
    <w:nsid w:val="07556C3C"/>
    <w:multiLevelType w:val="hybridMultilevel"/>
    <w:tmpl w:val="BC5820D0"/>
    <w:lvl w:ilvl="0" w:tplc="9DF2F21C">
      <w:start w:val="1"/>
      <w:numFmt w:val="bullet"/>
      <w:lvlText w:val=""/>
      <w:lvlJc w:val="left"/>
      <w:pPr>
        <w:tabs>
          <w:tab w:val="num" w:pos="2160"/>
        </w:tabs>
        <w:ind w:left="2160" w:hanging="360"/>
      </w:pPr>
      <w:rPr>
        <w:rFonts w:ascii="Symbol" w:hAnsi="Symbol" w:hint="default"/>
        <w:color w:val="auto"/>
      </w:rPr>
    </w:lvl>
    <w:lvl w:ilvl="1" w:tplc="548850F6">
      <w:start w:val="3"/>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7E17D5D"/>
    <w:multiLevelType w:val="hybridMultilevel"/>
    <w:tmpl w:val="3A3EC544"/>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1" w15:restartNumberingAfterBreak="0">
    <w:nsid w:val="08987227"/>
    <w:multiLevelType w:val="hybridMultilevel"/>
    <w:tmpl w:val="0CF42882"/>
    <w:lvl w:ilvl="0" w:tplc="6ABAD00C">
      <w:start w:val="2"/>
      <w:numFmt w:val="bullet"/>
      <w:lvlText w:val="-"/>
      <w:lvlJc w:val="left"/>
      <w:pPr>
        <w:tabs>
          <w:tab w:val="num" w:pos="720"/>
        </w:tabs>
        <w:ind w:left="720" w:hanging="360"/>
      </w:pPr>
      <w:rPr>
        <w:rFonts w:ascii="Century Schoolbook" w:eastAsia="Times New Roman" w:hAnsi="Century Schoolbook" w:cs="Tahoma"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8EE3F68"/>
    <w:multiLevelType w:val="hybridMultilevel"/>
    <w:tmpl w:val="8E5623D8"/>
    <w:lvl w:ilvl="0" w:tplc="337EF7D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 w15:restartNumberingAfterBreak="0">
    <w:nsid w:val="0C4B4E39"/>
    <w:multiLevelType w:val="hybridMultilevel"/>
    <w:tmpl w:val="D898CB8C"/>
    <w:lvl w:ilvl="0" w:tplc="035C1FF4">
      <w:start w:val="1"/>
      <w:numFmt w:val="bullet"/>
      <w:lvlText w:val="-"/>
      <w:lvlJc w:val="left"/>
      <w:pPr>
        <w:tabs>
          <w:tab w:val="num" w:pos="720"/>
        </w:tabs>
        <w:ind w:left="720" w:hanging="360"/>
      </w:pPr>
      <w:rPr>
        <w:rFonts w:ascii="Arial" w:eastAsia="Times New Roman" w:hAnsi="Arial" w:cs="Arial" w:hint="default"/>
      </w:rPr>
    </w:lvl>
    <w:lvl w:ilvl="1" w:tplc="9DF2F21C">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C792F45"/>
    <w:multiLevelType w:val="hybridMultilevel"/>
    <w:tmpl w:val="5F8C006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 w15:restartNumberingAfterBreak="0">
    <w:nsid w:val="0CF255E0"/>
    <w:multiLevelType w:val="hybridMultilevel"/>
    <w:tmpl w:val="8B3C225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6" w15:restartNumberingAfterBreak="0">
    <w:nsid w:val="0E601AE7"/>
    <w:multiLevelType w:val="hybridMultilevel"/>
    <w:tmpl w:val="817CEBB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7" w15:restartNumberingAfterBreak="0">
    <w:nsid w:val="0ECB3120"/>
    <w:multiLevelType w:val="hybridMultilevel"/>
    <w:tmpl w:val="AECC526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 w15:restartNumberingAfterBreak="0">
    <w:nsid w:val="10EF562B"/>
    <w:multiLevelType w:val="hybridMultilevel"/>
    <w:tmpl w:val="020032C6"/>
    <w:lvl w:ilvl="0" w:tplc="080C0001">
      <w:start w:val="1"/>
      <w:numFmt w:val="bullet"/>
      <w:lvlText w:val=""/>
      <w:lvlJc w:val="left"/>
      <w:pPr>
        <w:ind w:left="720" w:hanging="360"/>
      </w:pPr>
      <w:rPr>
        <w:rFonts w:ascii="Symbol" w:hAnsi="Symbol"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 w15:restartNumberingAfterBreak="0">
    <w:nsid w:val="11DE31B4"/>
    <w:multiLevelType w:val="hybridMultilevel"/>
    <w:tmpl w:val="18A8346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15:restartNumberingAfterBreak="0">
    <w:nsid w:val="13B71A84"/>
    <w:multiLevelType w:val="hybridMultilevel"/>
    <w:tmpl w:val="FD2646AE"/>
    <w:lvl w:ilvl="0" w:tplc="10782444">
      <w:start w:val="1"/>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 w15:restartNumberingAfterBreak="0">
    <w:nsid w:val="13DD30EE"/>
    <w:multiLevelType w:val="multilevel"/>
    <w:tmpl w:val="D13A1A08"/>
    <w:lvl w:ilvl="0">
      <w:numFmt w:val="bullet"/>
      <w:lvlText w:val="-"/>
      <w:lvlJc w:val="left"/>
      <w:pPr>
        <w:ind w:left="540" w:hanging="540"/>
      </w:pPr>
      <w:rPr>
        <w:rFonts w:ascii="Times New Roman" w:eastAsia="Times New Roman" w:hAnsi="Times New Roman" w:cs="Times New Roman" w:hint="default"/>
      </w:rPr>
    </w:lvl>
    <w:lvl w:ilvl="1">
      <w:start w:val="1"/>
      <w:numFmt w:val="decimal"/>
      <w:lvlText w:val="%1.%2."/>
      <w:lvlJc w:val="left"/>
      <w:pPr>
        <w:ind w:left="1780" w:hanging="720"/>
      </w:pPr>
      <w:rPr>
        <w:rFonts w:hint="default"/>
      </w:rPr>
    </w:lvl>
    <w:lvl w:ilvl="2">
      <w:start w:val="2"/>
      <w:numFmt w:val="decimal"/>
      <w:lvlText w:val="%1.%2.%3."/>
      <w:lvlJc w:val="left"/>
      <w:pPr>
        <w:ind w:left="2840" w:hanging="720"/>
      </w:pPr>
      <w:rPr>
        <w:rFonts w:hint="default"/>
      </w:rPr>
    </w:lvl>
    <w:lvl w:ilvl="3">
      <w:start w:val="1"/>
      <w:numFmt w:val="decimal"/>
      <w:lvlText w:val="%1.%2.%3.%4."/>
      <w:lvlJc w:val="left"/>
      <w:pPr>
        <w:ind w:left="4260" w:hanging="1080"/>
      </w:pPr>
      <w:rPr>
        <w:rFonts w:hint="default"/>
      </w:rPr>
    </w:lvl>
    <w:lvl w:ilvl="4">
      <w:start w:val="1"/>
      <w:numFmt w:val="decimal"/>
      <w:lvlText w:val="%1.%2.%3.%4.%5."/>
      <w:lvlJc w:val="left"/>
      <w:pPr>
        <w:ind w:left="5320" w:hanging="1080"/>
      </w:pPr>
      <w:rPr>
        <w:rFonts w:hint="default"/>
      </w:rPr>
    </w:lvl>
    <w:lvl w:ilvl="5">
      <w:start w:val="1"/>
      <w:numFmt w:val="decimal"/>
      <w:lvlText w:val="%1.%2.%3.%4.%5.%6."/>
      <w:lvlJc w:val="left"/>
      <w:pPr>
        <w:ind w:left="6740" w:hanging="1440"/>
      </w:pPr>
      <w:rPr>
        <w:rFonts w:hint="default"/>
      </w:rPr>
    </w:lvl>
    <w:lvl w:ilvl="6">
      <w:start w:val="1"/>
      <w:numFmt w:val="decimal"/>
      <w:lvlText w:val="%1.%2.%3.%4.%5.%6.%7."/>
      <w:lvlJc w:val="left"/>
      <w:pPr>
        <w:ind w:left="7800" w:hanging="1440"/>
      </w:pPr>
      <w:rPr>
        <w:rFonts w:hint="default"/>
      </w:rPr>
    </w:lvl>
    <w:lvl w:ilvl="7">
      <w:start w:val="1"/>
      <w:numFmt w:val="decimal"/>
      <w:lvlText w:val="%1.%2.%3.%4.%5.%6.%7.%8."/>
      <w:lvlJc w:val="left"/>
      <w:pPr>
        <w:ind w:left="9220" w:hanging="1800"/>
      </w:pPr>
      <w:rPr>
        <w:rFonts w:hint="default"/>
      </w:rPr>
    </w:lvl>
    <w:lvl w:ilvl="8">
      <w:start w:val="1"/>
      <w:numFmt w:val="decimal"/>
      <w:lvlText w:val="%1.%2.%3.%4.%5.%6.%7.%8.%9."/>
      <w:lvlJc w:val="left"/>
      <w:pPr>
        <w:ind w:left="10280" w:hanging="1800"/>
      </w:pPr>
      <w:rPr>
        <w:rFonts w:hint="default"/>
      </w:rPr>
    </w:lvl>
  </w:abstractNum>
  <w:abstractNum w:abstractNumId="22" w15:restartNumberingAfterBreak="0">
    <w:nsid w:val="1435586C"/>
    <w:multiLevelType w:val="hybridMultilevel"/>
    <w:tmpl w:val="F620E160"/>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 w15:restartNumberingAfterBreak="0">
    <w:nsid w:val="14DD1ECF"/>
    <w:multiLevelType w:val="hybridMultilevel"/>
    <w:tmpl w:val="40C89F4E"/>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4" w15:restartNumberingAfterBreak="0">
    <w:nsid w:val="15A51D25"/>
    <w:multiLevelType w:val="hybridMultilevel"/>
    <w:tmpl w:val="AFB8A0A6"/>
    <w:lvl w:ilvl="0" w:tplc="B532B36E">
      <w:start w:val="1"/>
      <w:numFmt w:val="bullet"/>
      <w:lvlText w:val="-"/>
      <w:lvlJc w:val="left"/>
      <w:pPr>
        <w:tabs>
          <w:tab w:val="num" w:pos="720"/>
        </w:tabs>
        <w:ind w:left="720" w:hanging="360"/>
      </w:pPr>
      <w:rPr>
        <w:rFonts w:ascii="Arial" w:hAnsi="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5E80C92"/>
    <w:multiLevelType w:val="hybridMultilevel"/>
    <w:tmpl w:val="EDCADC18"/>
    <w:lvl w:ilvl="0" w:tplc="548850F6">
      <w:start w:val="3"/>
      <w:numFmt w:val="bullet"/>
      <w:lvlText w:val=""/>
      <w:lvlJc w:val="left"/>
      <w:pPr>
        <w:tabs>
          <w:tab w:val="num" w:pos="1440"/>
        </w:tabs>
        <w:ind w:left="144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6660BEC"/>
    <w:multiLevelType w:val="hybridMultilevel"/>
    <w:tmpl w:val="455E7D24"/>
    <w:lvl w:ilvl="0" w:tplc="040C0001">
      <w:start w:val="1"/>
      <w:numFmt w:val="bullet"/>
      <w:lvlText w:val=""/>
      <w:lvlJc w:val="left"/>
      <w:pPr>
        <w:tabs>
          <w:tab w:val="num" w:pos="720"/>
        </w:tabs>
        <w:ind w:left="720" w:hanging="360"/>
      </w:pPr>
      <w:rPr>
        <w:rFonts w:ascii="Symbol" w:hAnsi="Symbol" w:hint="default"/>
      </w:rPr>
    </w:lvl>
    <w:lvl w:ilvl="1" w:tplc="B8541AE8">
      <w:numFmt w:val="bullet"/>
      <w:lvlText w:val="-"/>
      <w:lvlJc w:val="left"/>
      <w:pPr>
        <w:tabs>
          <w:tab w:val="num" w:pos="1440"/>
        </w:tabs>
        <w:ind w:left="1440" w:hanging="360"/>
      </w:pPr>
      <w:rPr>
        <w:rFonts w:ascii="Tahoma" w:eastAsia="Times New Roman" w:hAnsi="Tahoma" w:cs="Tahoma" w:hint="default"/>
      </w:rPr>
    </w:lvl>
    <w:lvl w:ilvl="2" w:tplc="2E40BDE8">
      <w:start w:val="1"/>
      <w:numFmt w:val="bullet"/>
      <w:lvlText w:val="♣"/>
      <w:lvlJc w:val="left"/>
      <w:pPr>
        <w:tabs>
          <w:tab w:val="num" w:pos="2160"/>
        </w:tabs>
        <w:ind w:left="2160" w:hanging="360"/>
      </w:pPr>
      <w:rPr>
        <w:rFonts w:ascii="Courier New" w:hAnsi="Courier New"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6F02791"/>
    <w:multiLevelType w:val="hybridMultilevel"/>
    <w:tmpl w:val="1E3AE5D4"/>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 w15:restartNumberingAfterBreak="0">
    <w:nsid w:val="179E32DB"/>
    <w:multiLevelType w:val="hybridMultilevel"/>
    <w:tmpl w:val="54D293EC"/>
    <w:lvl w:ilvl="0" w:tplc="D5CED3F6">
      <w:start w:val="1"/>
      <w:numFmt w:val="bullet"/>
      <w:lvlText w:val="-"/>
      <w:lvlJc w:val="left"/>
      <w:pPr>
        <w:tabs>
          <w:tab w:val="num" w:pos="1440"/>
        </w:tabs>
        <w:ind w:left="1440" w:hanging="360"/>
      </w:pPr>
      <w:rPr>
        <w:rFonts w:ascii="Tahoma" w:hAnsi="Tahoma" w:hint="default"/>
      </w:rPr>
    </w:lvl>
    <w:lvl w:ilvl="1" w:tplc="080C0001">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7CE7BDD"/>
    <w:multiLevelType w:val="hybridMultilevel"/>
    <w:tmpl w:val="6316D85E"/>
    <w:lvl w:ilvl="0" w:tplc="040C000F">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0" w15:restartNumberingAfterBreak="0">
    <w:nsid w:val="1B676A9C"/>
    <w:multiLevelType w:val="multilevel"/>
    <w:tmpl w:val="8CEA923C"/>
    <w:lvl w:ilvl="0">
      <w:start w:val="10"/>
      <w:numFmt w:val="decimal"/>
      <w:lvlText w:val="%1."/>
      <w:lvlJc w:val="left"/>
      <w:pPr>
        <w:ind w:left="600" w:hanging="600"/>
      </w:pPr>
      <w:rPr>
        <w:rFonts w:hint="default"/>
      </w:rPr>
    </w:lvl>
    <w:lvl w:ilvl="1">
      <w:start w:val="1"/>
      <w:numFmt w:val="decimal"/>
      <w:lvlText w:val="%1.%2."/>
      <w:lvlJc w:val="left"/>
      <w:pPr>
        <w:ind w:left="2139" w:hanging="720"/>
      </w:pPr>
      <w:rPr>
        <w:rFonts w:hint="default"/>
      </w:rPr>
    </w:lvl>
    <w:lvl w:ilvl="2">
      <w:start w:val="1"/>
      <w:numFmt w:val="decimal"/>
      <w:lvlText w:val="%1.%2.%3."/>
      <w:lvlJc w:val="left"/>
      <w:pPr>
        <w:ind w:left="3558" w:hanging="720"/>
      </w:pPr>
      <w:rPr>
        <w:rFonts w:hint="default"/>
      </w:rPr>
    </w:lvl>
    <w:lvl w:ilvl="3">
      <w:start w:val="1"/>
      <w:numFmt w:val="decimal"/>
      <w:lvlText w:val="%1.%2.%3.%4."/>
      <w:lvlJc w:val="left"/>
      <w:pPr>
        <w:ind w:left="5337" w:hanging="1080"/>
      </w:pPr>
      <w:rPr>
        <w:rFonts w:hint="default"/>
        <w:sz w:val="22"/>
        <w:szCs w:val="22"/>
      </w:rPr>
    </w:lvl>
    <w:lvl w:ilvl="4">
      <w:start w:val="1"/>
      <w:numFmt w:val="decimal"/>
      <w:lvlText w:val="%1.%2.%3.%4.%5."/>
      <w:lvlJc w:val="left"/>
      <w:pPr>
        <w:ind w:left="6756" w:hanging="1080"/>
      </w:pPr>
      <w:rPr>
        <w:rFonts w:hint="default"/>
      </w:rPr>
    </w:lvl>
    <w:lvl w:ilvl="5">
      <w:start w:val="1"/>
      <w:numFmt w:val="decimal"/>
      <w:lvlText w:val="%1.%2.%3.%4.%5.%6."/>
      <w:lvlJc w:val="left"/>
      <w:pPr>
        <w:ind w:left="8535" w:hanging="1440"/>
      </w:pPr>
      <w:rPr>
        <w:rFonts w:hint="default"/>
      </w:rPr>
    </w:lvl>
    <w:lvl w:ilvl="6">
      <w:start w:val="1"/>
      <w:numFmt w:val="decimal"/>
      <w:lvlText w:val="%1.%2.%3.%4.%5.%6.%7."/>
      <w:lvlJc w:val="left"/>
      <w:pPr>
        <w:ind w:left="10314" w:hanging="1800"/>
      </w:pPr>
      <w:rPr>
        <w:rFonts w:hint="default"/>
      </w:rPr>
    </w:lvl>
    <w:lvl w:ilvl="7">
      <w:start w:val="1"/>
      <w:numFmt w:val="decimal"/>
      <w:lvlText w:val="%1.%2.%3.%4.%5.%6.%7.%8."/>
      <w:lvlJc w:val="left"/>
      <w:pPr>
        <w:ind w:left="11733" w:hanging="1800"/>
      </w:pPr>
      <w:rPr>
        <w:rFonts w:hint="default"/>
      </w:rPr>
    </w:lvl>
    <w:lvl w:ilvl="8">
      <w:start w:val="1"/>
      <w:numFmt w:val="decimal"/>
      <w:lvlText w:val="%1.%2.%3.%4.%5.%6.%7.%8.%9."/>
      <w:lvlJc w:val="left"/>
      <w:pPr>
        <w:ind w:left="13512" w:hanging="2160"/>
      </w:pPr>
      <w:rPr>
        <w:rFonts w:hint="default"/>
      </w:rPr>
    </w:lvl>
  </w:abstractNum>
  <w:abstractNum w:abstractNumId="31" w15:restartNumberingAfterBreak="0">
    <w:nsid w:val="1CE4105C"/>
    <w:multiLevelType w:val="hybridMultilevel"/>
    <w:tmpl w:val="91BEC5E2"/>
    <w:lvl w:ilvl="0" w:tplc="10782444">
      <w:start w:val="1"/>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 w15:restartNumberingAfterBreak="0">
    <w:nsid w:val="1D8F24CE"/>
    <w:multiLevelType w:val="hybridMultilevel"/>
    <w:tmpl w:val="4EE4054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 w15:restartNumberingAfterBreak="0">
    <w:nsid w:val="1DD825C5"/>
    <w:multiLevelType w:val="hybridMultilevel"/>
    <w:tmpl w:val="6D84F1F6"/>
    <w:lvl w:ilvl="0" w:tplc="17B60716">
      <w:start w:val="1"/>
      <w:numFmt w:val="bullet"/>
      <w:lvlText w:val="-"/>
      <w:lvlJc w:val="left"/>
      <w:pPr>
        <w:tabs>
          <w:tab w:val="num" w:pos="720"/>
        </w:tabs>
        <w:ind w:left="720" w:hanging="360"/>
      </w:pPr>
      <w:rPr>
        <w:rFonts w:ascii="Times New Roman" w:hAnsi="Times New Roman" w:hint="default"/>
      </w:rPr>
    </w:lvl>
    <w:lvl w:ilvl="1" w:tplc="1A207EF4" w:tentative="1">
      <w:start w:val="1"/>
      <w:numFmt w:val="bullet"/>
      <w:lvlText w:val="-"/>
      <w:lvlJc w:val="left"/>
      <w:pPr>
        <w:tabs>
          <w:tab w:val="num" w:pos="1440"/>
        </w:tabs>
        <w:ind w:left="1440" w:hanging="360"/>
      </w:pPr>
      <w:rPr>
        <w:rFonts w:ascii="Times New Roman" w:hAnsi="Times New Roman" w:hint="default"/>
      </w:rPr>
    </w:lvl>
    <w:lvl w:ilvl="2" w:tplc="DB608EAA">
      <w:start w:val="164"/>
      <w:numFmt w:val="bullet"/>
      <w:lvlText w:val="-"/>
      <w:lvlJc w:val="left"/>
      <w:pPr>
        <w:tabs>
          <w:tab w:val="num" w:pos="2160"/>
        </w:tabs>
        <w:ind w:left="2160" w:hanging="360"/>
      </w:pPr>
      <w:rPr>
        <w:rFonts w:ascii="Times New Roman" w:hAnsi="Times New Roman" w:hint="default"/>
      </w:rPr>
    </w:lvl>
    <w:lvl w:ilvl="3" w:tplc="BB9CD116" w:tentative="1">
      <w:start w:val="1"/>
      <w:numFmt w:val="bullet"/>
      <w:lvlText w:val="-"/>
      <w:lvlJc w:val="left"/>
      <w:pPr>
        <w:tabs>
          <w:tab w:val="num" w:pos="2880"/>
        </w:tabs>
        <w:ind w:left="2880" w:hanging="360"/>
      </w:pPr>
      <w:rPr>
        <w:rFonts w:ascii="Times New Roman" w:hAnsi="Times New Roman" w:hint="default"/>
      </w:rPr>
    </w:lvl>
    <w:lvl w:ilvl="4" w:tplc="F2D21940" w:tentative="1">
      <w:start w:val="1"/>
      <w:numFmt w:val="bullet"/>
      <w:lvlText w:val="-"/>
      <w:lvlJc w:val="left"/>
      <w:pPr>
        <w:tabs>
          <w:tab w:val="num" w:pos="3600"/>
        </w:tabs>
        <w:ind w:left="3600" w:hanging="360"/>
      </w:pPr>
      <w:rPr>
        <w:rFonts w:ascii="Times New Roman" w:hAnsi="Times New Roman" w:hint="default"/>
      </w:rPr>
    </w:lvl>
    <w:lvl w:ilvl="5" w:tplc="056A1A1E" w:tentative="1">
      <w:start w:val="1"/>
      <w:numFmt w:val="bullet"/>
      <w:lvlText w:val="-"/>
      <w:lvlJc w:val="left"/>
      <w:pPr>
        <w:tabs>
          <w:tab w:val="num" w:pos="4320"/>
        </w:tabs>
        <w:ind w:left="4320" w:hanging="360"/>
      </w:pPr>
      <w:rPr>
        <w:rFonts w:ascii="Times New Roman" w:hAnsi="Times New Roman" w:hint="default"/>
      </w:rPr>
    </w:lvl>
    <w:lvl w:ilvl="6" w:tplc="60E478FA" w:tentative="1">
      <w:start w:val="1"/>
      <w:numFmt w:val="bullet"/>
      <w:lvlText w:val="-"/>
      <w:lvlJc w:val="left"/>
      <w:pPr>
        <w:tabs>
          <w:tab w:val="num" w:pos="5040"/>
        </w:tabs>
        <w:ind w:left="5040" w:hanging="360"/>
      </w:pPr>
      <w:rPr>
        <w:rFonts w:ascii="Times New Roman" w:hAnsi="Times New Roman" w:hint="default"/>
      </w:rPr>
    </w:lvl>
    <w:lvl w:ilvl="7" w:tplc="96BE5CE0" w:tentative="1">
      <w:start w:val="1"/>
      <w:numFmt w:val="bullet"/>
      <w:lvlText w:val="-"/>
      <w:lvlJc w:val="left"/>
      <w:pPr>
        <w:tabs>
          <w:tab w:val="num" w:pos="5760"/>
        </w:tabs>
        <w:ind w:left="5760" w:hanging="360"/>
      </w:pPr>
      <w:rPr>
        <w:rFonts w:ascii="Times New Roman" w:hAnsi="Times New Roman" w:hint="default"/>
      </w:rPr>
    </w:lvl>
    <w:lvl w:ilvl="8" w:tplc="938CE7FE"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1E072F76"/>
    <w:multiLevelType w:val="hybridMultilevel"/>
    <w:tmpl w:val="DA7EB342"/>
    <w:lvl w:ilvl="0" w:tplc="B532B36E">
      <w:start w:val="1"/>
      <w:numFmt w:val="bullet"/>
      <w:lvlText w:val="-"/>
      <w:lvlJc w:val="left"/>
      <w:pPr>
        <w:tabs>
          <w:tab w:val="num" w:pos="2160"/>
        </w:tabs>
        <w:ind w:left="2160" w:hanging="360"/>
      </w:pPr>
      <w:rPr>
        <w:rFonts w:ascii="Arial" w:hAnsi="Aria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F5A7143"/>
    <w:multiLevelType w:val="hybridMultilevel"/>
    <w:tmpl w:val="D54ED304"/>
    <w:lvl w:ilvl="0" w:tplc="337EF7D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6" w15:restartNumberingAfterBreak="0">
    <w:nsid w:val="21A44DC7"/>
    <w:multiLevelType w:val="hybridMultilevel"/>
    <w:tmpl w:val="160ACBA4"/>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7" w15:restartNumberingAfterBreak="0">
    <w:nsid w:val="224A36D3"/>
    <w:multiLevelType w:val="multilevel"/>
    <w:tmpl w:val="3B8E2AA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8" w15:restartNumberingAfterBreak="0">
    <w:nsid w:val="249D49E3"/>
    <w:multiLevelType w:val="hybridMultilevel"/>
    <w:tmpl w:val="7582A0B8"/>
    <w:lvl w:ilvl="0" w:tplc="040C000F">
      <w:start w:val="3"/>
      <w:numFmt w:val="decimal"/>
      <w:lvlText w:val="%1."/>
      <w:lvlJc w:val="left"/>
      <w:pPr>
        <w:tabs>
          <w:tab w:val="num" w:pos="720"/>
        </w:tabs>
        <w:ind w:left="720" w:hanging="360"/>
      </w:pPr>
      <w:rPr>
        <w:rFonts w:hint="default"/>
      </w:rPr>
    </w:lvl>
    <w:lvl w:ilvl="1" w:tplc="548850F6">
      <w:start w:val="3"/>
      <w:numFmt w:val="bullet"/>
      <w:lvlText w:val=""/>
      <w:lvlJc w:val="left"/>
      <w:pPr>
        <w:tabs>
          <w:tab w:val="num" w:pos="1440"/>
        </w:tabs>
        <w:ind w:left="1440" w:hanging="360"/>
      </w:pPr>
      <w:rPr>
        <w:rFonts w:ascii="Symbol" w:hAnsi="Symbol" w:hint="default"/>
        <w:color w:val="auto"/>
      </w:rPr>
    </w:lvl>
    <w:lvl w:ilvl="2" w:tplc="040C0009">
      <w:start w:val="1"/>
      <w:numFmt w:val="bullet"/>
      <w:lvlText w:val=""/>
      <w:lvlJc w:val="left"/>
      <w:pPr>
        <w:tabs>
          <w:tab w:val="num" w:pos="2340"/>
        </w:tabs>
        <w:ind w:left="2340" w:hanging="360"/>
      </w:pPr>
      <w:rPr>
        <w:rFonts w:ascii="Wingdings" w:hAnsi="Wingdings" w:hint="default"/>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9" w15:restartNumberingAfterBreak="0">
    <w:nsid w:val="262757E9"/>
    <w:multiLevelType w:val="hybridMultilevel"/>
    <w:tmpl w:val="EBFCD8EA"/>
    <w:lvl w:ilvl="0" w:tplc="080C0001">
      <w:start w:val="1"/>
      <w:numFmt w:val="bullet"/>
      <w:lvlText w:val=""/>
      <w:lvlJc w:val="left"/>
      <w:pPr>
        <w:ind w:left="720" w:hanging="360"/>
      </w:pPr>
      <w:rPr>
        <w:rFonts w:ascii="Symbol" w:hAnsi="Symbol" w:hint="default"/>
      </w:rPr>
    </w:lvl>
    <w:lvl w:ilvl="1" w:tplc="3CC605E2">
      <w:numFmt w:val="bullet"/>
      <w:lvlText w:val=""/>
      <w:lvlJc w:val="left"/>
      <w:pPr>
        <w:ind w:left="1440" w:hanging="360"/>
      </w:pPr>
      <w:rPr>
        <w:rFonts w:ascii="Wingdings" w:eastAsia="Times New Roman" w:hAnsi="Wingdings" w:cs="Calibri" w:hint="default"/>
        <w:b/>
        <w:u w:val="single"/>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0" w15:restartNumberingAfterBreak="0">
    <w:nsid w:val="271D2E33"/>
    <w:multiLevelType w:val="hybridMultilevel"/>
    <w:tmpl w:val="45F2C5DE"/>
    <w:lvl w:ilvl="0" w:tplc="548850F6">
      <w:start w:val="3"/>
      <w:numFmt w:val="bullet"/>
      <w:lvlText w:val=""/>
      <w:lvlJc w:val="left"/>
      <w:pPr>
        <w:tabs>
          <w:tab w:val="num" w:pos="1800"/>
        </w:tabs>
        <w:ind w:left="1800" w:hanging="360"/>
      </w:pPr>
      <w:rPr>
        <w:rFonts w:ascii="Symbol" w:hAnsi="Symbol" w:hint="default"/>
        <w:color w:val="auto"/>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296830C2"/>
    <w:multiLevelType w:val="hybridMultilevel"/>
    <w:tmpl w:val="6BB81014"/>
    <w:lvl w:ilvl="0" w:tplc="D5CED3F6">
      <w:start w:val="1"/>
      <w:numFmt w:val="bullet"/>
      <w:lvlText w:val="-"/>
      <w:lvlJc w:val="left"/>
      <w:pPr>
        <w:tabs>
          <w:tab w:val="num" w:pos="1440"/>
        </w:tabs>
        <w:ind w:left="1440" w:hanging="360"/>
      </w:pPr>
      <w:rPr>
        <w:rFonts w:ascii="Tahoma" w:hAnsi="Tahoma" w:hint="default"/>
      </w:rPr>
    </w:lvl>
    <w:lvl w:ilvl="1" w:tplc="548850F6">
      <w:start w:val="3"/>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A177E23"/>
    <w:multiLevelType w:val="multilevel"/>
    <w:tmpl w:val="BA1C56F4"/>
    <w:lvl w:ilvl="0">
      <w:start w:val="1"/>
      <w:numFmt w:val="decimal"/>
      <w:lvlText w:val="%1."/>
      <w:lvlJc w:val="left"/>
      <w:pPr>
        <w:tabs>
          <w:tab w:val="num" w:pos="720"/>
        </w:tabs>
        <w:ind w:left="720" w:hanging="360"/>
      </w:pPr>
      <w:rPr>
        <w:rFonts w:hint="default"/>
      </w:rPr>
    </w:lvl>
    <w:lvl w:ilvl="1">
      <w:start w:val="2"/>
      <w:numFmt w:val="decimal"/>
      <w:lvlText w:val="%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43" w15:restartNumberingAfterBreak="0">
    <w:nsid w:val="2B2C6860"/>
    <w:multiLevelType w:val="hybridMultilevel"/>
    <w:tmpl w:val="E466987A"/>
    <w:lvl w:ilvl="0" w:tplc="D472B272">
      <w:numFmt w:val="bullet"/>
      <w:lvlText w:val="-"/>
      <w:lvlJc w:val="left"/>
      <w:pPr>
        <w:ind w:left="720" w:hanging="360"/>
      </w:pPr>
      <w:rPr>
        <w:rFonts w:ascii="Calibri" w:eastAsia="Calibr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4" w15:restartNumberingAfterBreak="0">
    <w:nsid w:val="2B5C23BA"/>
    <w:multiLevelType w:val="hybridMultilevel"/>
    <w:tmpl w:val="0DEA28A0"/>
    <w:lvl w:ilvl="0" w:tplc="548850F6">
      <w:start w:val="3"/>
      <w:numFmt w:val="bullet"/>
      <w:lvlText w:val=""/>
      <w:lvlJc w:val="left"/>
      <w:pPr>
        <w:tabs>
          <w:tab w:val="num" w:pos="1440"/>
        </w:tabs>
        <w:ind w:left="1440" w:hanging="360"/>
      </w:pPr>
      <w:rPr>
        <w:rFonts w:ascii="Symbol" w:hAnsi="Symbol" w:hint="default"/>
        <w:color w:val="auto"/>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B8671E8"/>
    <w:multiLevelType w:val="hybridMultilevel"/>
    <w:tmpl w:val="359E75BC"/>
    <w:lvl w:ilvl="0" w:tplc="080C0001">
      <w:start w:val="1"/>
      <w:numFmt w:val="bullet"/>
      <w:lvlText w:val=""/>
      <w:lvlJc w:val="left"/>
      <w:pPr>
        <w:ind w:left="720" w:hanging="360"/>
      </w:pPr>
      <w:rPr>
        <w:rFonts w:ascii="Symbol" w:hAnsi="Symbol"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6" w15:restartNumberingAfterBreak="0">
    <w:nsid w:val="2BDB2DF7"/>
    <w:multiLevelType w:val="hybridMultilevel"/>
    <w:tmpl w:val="1C8EC44C"/>
    <w:lvl w:ilvl="0" w:tplc="080C0015">
      <w:start w:val="1"/>
      <w:numFmt w:val="upperLetter"/>
      <w:lvlText w:val="%1."/>
      <w:lvlJc w:val="left"/>
      <w:pPr>
        <w:ind w:left="720" w:hanging="360"/>
      </w:pPr>
      <w:rPr>
        <w:rFont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7" w15:restartNumberingAfterBreak="0">
    <w:nsid w:val="2D3502DB"/>
    <w:multiLevelType w:val="hybridMultilevel"/>
    <w:tmpl w:val="7A10174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8" w15:restartNumberingAfterBreak="0">
    <w:nsid w:val="2EC16D88"/>
    <w:multiLevelType w:val="hybridMultilevel"/>
    <w:tmpl w:val="F86AB08C"/>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9" w15:restartNumberingAfterBreak="0">
    <w:nsid w:val="2F5501AB"/>
    <w:multiLevelType w:val="hybridMultilevel"/>
    <w:tmpl w:val="6CA20E54"/>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2035F54"/>
    <w:multiLevelType w:val="hybridMultilevel"/>
    <w:tmpl w:val="E350FB0A"/>
    <w:lvl w:ilvl="0" w:tplc="08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5A70DAA"/>
    <w:multiLevelType w:val="hybridMultilevel"/>
    <w:tmpl w:val="A98AB904"/>
    <w:lvl w:ilvl="0" w:tplc="080C0001">
      <w:start w:val="1"/>
      <w:numFmt w:val="bullet"/>
      <w:lvlText w:val=""/>
      <w:lvlJc w:val="left"/>
      <w:pPr>
        <w:tabs>
          <w:tab w:val="num" w:pos="720"/>
        </w:tabs>
        <w:ind w:left="720" w:hanging="360"/>
      </w:pPr>
      <w:rPr>
        <w:rFonts w:ascii="Symbol" w:hAnsi="Symbol" w:hint="default"/>
      </w:rPr>
    </w:lvl>
    <w:lvl w:ilvl="1" w:tplc="9DF2F21C">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5AC4DED"/>
    <w:multiLevelType w:val="hybridMultilevel"/>
    <w:tmpl w:val="6FD24DEC"/>
    <w:lvl w:ilvl="0" w:tplc="040C0001">
      <w:start w:val="1"/>
      <w:numFmt w:val="bullet"/>
      <w:lvlText w:val=""/>
      <w:lvlJc w:val="left"/>
      <w:pPr>
        <w:tabs>
          <w:tab w:val="num" w:pos="1068"/>
        </w:tabs>
        <w:ind w:left="1068" w:hanging="360"/>
      </w:pPr>
      <w:rPr>
        <w:rFonts w:ascii="Symbol" w:hAnsi="Symbol" w:hint="default"/>
      </w:rPr>
    </w:lvl>
    <w:lvl w:ilvl="1" w:tplc="3210DB9E" w:tentative="1">
      <w:start w:val="1"/>
      <w:numFmt w:val="bullet"/>
      <w:lvlText w:val="-"/>
      <w:lvlJc w:val="left"/>
      <w:pPr>
        <w:tabs>
          <w:tab w:val="num" w:pos="1788"/>
        </w:tabs>
        <w:ind w:left="1788" w:hanging="360"/>
      </w:pPr>
      <w:rPr>
        <w:rFonts w:ascii="Times New Roman" w:hAnsi="Times New Roman" w:hint="default"/>
      </w:rPr>
    </w:lvl>
    <w:lvl w:ilvl="2" w:tplc="DD50FA5A">
      <w:start w:val="164"/>
      <w:numFmt w:val="bullet"/>
      <w:lvlText w:val="-"/>
      <w:lvlJc w:val="left"/>
      <w:pPr>
        <w:tabs>
          <w:tab w:val="num" w:pos="2508"/>
        </w:tabs>
        <w:ind w:left="2508" w:hanging="360"/>
      </w:pPr>
      <w:rPr>
        <w:rFonts w:ascii="Times New Roman" w:hAnsi="Times New Roman" w:hint="default"/>
      </w:rPr>
    </w:lvl>
    <w:lvl w:ilvl="3" w:tplc="120C98AE" w:tentative="1">
      <w:start w:val="1"/>
      <w:numFmt w:val="bullet"/>
      <w:lvlText w:val="-"/>
      <w:lvlJc w:val="left"/>
      <w:pPr>
        <w:tabs>
          <w:tab w:val="num" w:pos="3228"/>
        </w:tabs>
        <w:ind w:left="3228" w:hanging="360"/>
      </w:pPr>
      <w:rPr>
        <w:rFonts w:ascii="Times New Roman" w:hAnsi="Times New Roman" w:hint="default"/>
      </w:rPr>
    </w:lvl>
    <w:lvl w:ilvl="4" w:tplc="C1F8FFBA" w:tentative="1">
      <w:start w:val="1"/>
      <w:numFmt w:val="bullet"/>
      <w:lvlText w:val="-"/>
      <w:lvlJc w:val="left"/>
      <w:pPr>
        <w:tabs>
          <w:tab w:val="num" w:pos="3948"/>
        </w:tabs>
        <w:ind w:left="3948" w:hanging="360"/>
      </w:pPr>
      <w:rPr>
        <w:rFonts w:ascii="Times New Roman" w:hAnsi="Times New Roman" w:hint="default"/>
      </w:rPr>
    </w:lvl>
    <w:lvl w:ilvl="5" w:tplc="4F5AB5D8" w:tentative="1">
      <w:start w:val="1"/>
      <w:numFmt w:val="bullet"/>
      <w:lvlText w:val="-"/>
      <w:lvlJc w:val="left"/>
      <w:pPr>
        <w:tabs>
          <w:tab w:val="num" w:pos="4668"/>
        </w:tabs>
        <w:ind w:left="4668" w:hanging="360"/>
      </w:pPr>
      <w:rPr>
        <w:rFonts w:ascii="Times New Roman" w:hAnsi="Times New Roman" w:hint="default"/>
      </w:rPr>
    </w:lvl>
    <w:lvl w:ilvl="6" w:tplc="9BCC62C6" w:tentative="1">
      <w:start w:val="1"/>
      <w:numFmt w:val="bullet"/>
      <w:lvlText w:val="-"/>
      <w:lvlJc w:val="left"/>
      <w:pPr>
        <w:tabs>
          <w:tab w:val="num" w:pos="5388"/>
        </w:tabs>
        <w:ind w:left="5388" w:hanging="360"/>
      </w:pPr>
      <w:rPr>
        <w:rFonts w:ascii="Times New Roman" w:hAnsi="Times New Roman" w:hint="default"/>
      </w:rPr>
    </w:lvl>
    <w:lvl w:ilvl="7" w:tplc="CDD03672" w:tentative="1">
      <w:start w:val="1"/>
      <w:numFmt w:val="bullet"/>
      <w:lvlText w:val="-"/>
      <w:lvlJc w:val="left"/>
      <w:pPr>
        <w:tabs>
          <w:tab w:val="num" w:pos="6108"/>
        </w:tabs>
        <w:ind w:left="6108" w:hanging="360"/>
      </w:pPr>
      <w:rPr>
        <w:rFonts w:ascii="Times New Roman" w:hAnsi="Times New Roman" w:hint="default"/>
      </w:rPr>
    </w:lvl>
    <w:lvl w:ilvl="8" w:tplc="1F8A4646" w:tentative="1">
      <w:start w:val="1"/>
      <w:numFmt w:val="bullet"/>
      <w:lvlText w:val="-"/>
      <w:lvlJc w:val="left"/>
      <w:pPr>
        <w:tabs>
          <w:tab w:val="num" w:pos="6828"/>
        </w:tabs>
        <w:ind w:left="6828" w:hanging="360"/>
      </w:pPr>
      <w:rPr>
        <w:rFonts w:ascii="Times New Roman" w:hAnsi="Times New Roman" w:hint="default"/>
      </w:rPr>
    </w:lvl>
  </w:abstractNum>
  <w:abstractNum w:abstractNumId="53" w15:restartNumberingAfterBreak="0">
    <w:nsid w:val="365774E4"/>
    <w:multiLevelType w:val="hybridMultilevel"/>
    <w:tmpl w:val="58BA2FF4"/>
    <w:lvl w:ilvl="0" w:tplc="080C0001">
      <w:start w:val="1"/>
      <w:numFmt w:val="bullet"/>
      <w:lvlText w:val=""/>
      <w:lvlJc w:val="left"/>
      <w:pPr>
        <w:tabs>
          <w:tab w:val="num" w:pos="720"/>
        </w:tabs>
        <w:ind w:left="720" w:hanging="360"/>
      </w:pPr>
      <w:rPr>
        <w:rFonts w:ascii="Symbol" w:hAnsi="Symbol" w:hint="default"/>
      </w:rPr>
    </w:lvl>
    <w:lvl w:ilvl="1" w:tplc="9DF2F21C">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7556D35"/>
    <w:multiLevelType w:val="multilevel"/>
    <w:tmpl w:val="73B8DE90"/>
    <w:lvl w:ilvl="0">
      <w:start w:val="10"/>
      <w:numFmt w:val="decimal"/>
      <w:lvlText w:val="%1."/>
      <w:lvlJc w:val="left"/>
      <w:pPr>
        <w:ind w:left="600" w:hanging="600"/>
      </w:pPr>
      <w:rPr>
        <w:rFonts w:hint="default"/>
      </w:rPr>
    </w:lvl>
    <w:lvl w:ilvl="1">
      <w:start w:val="1"/>
      <w:numFmt w:val="decimal"/>
      <w:lvlText w:val="%1.%2."/>
      <w:lvlJc w:val="left"/>
      <w:pPr>
        <w:ind w:left="2139" w:hanging="720"/>
      </w:pPr>
      <w:rPr>
        <w:rFonts w:hint="default"/>
      </w:rPr>
    </w:lvl>
    <w:lvl w:ilvl="2">
      <w:start w:val="1"/>
      <w:numFmt w:val="bullet"/>
      <w:lvlText w:val="-"/>
      <w:lvlJc w:val="left"/>
      <w:pPr>
        <w:ind w:left="3558" w:hanging="720"/>
      </w:pPr>
      <w:rPr>
        <w:rFonts w:ascii="Times New Roman" w:hAnsi="Times New Roman" w:hint="default"/>
      </w:rPr>
    </w:lvl>
    <w:lvl w:ilvl="3">
      <w:start w:val="1"/>
      <w:numFmt w:val="decimal"/>
      <w:lvlText w:val="%1.%2.%3.%4."/>
      <w:lvlJc w:val="left"/>
      <w:pPr>
        <w:ind w:left="5337" w:hanging="1080"/>
      </w:pPr>
      <w:rPr>
        <w:rFonts w:hint="default"/>
        <w:sz w:val="24"/>
        <w:szCs w:val="24"/>
      </w:rPr>
    </w:lvl>
    <w:lvl w:ilvl="4">
      <w:start w:val="1"/>
      <w:numFmt w:val="decimal"/>
      <w:lvlText w:val="%1.%2.%3.%4.%5."/>
      <w:lvlJc w:val="left"/>
      <w:pPr>
        <w:ind w:left="6756" w:hanging="1080"/>
      </w:pPr>
      <w:rPr>
        <w:rFonts w:hint="default"/>
      </w:rPr>
    </w:lvl>
    <w:lvl w:ilvl="5">
      <w:start w:val="1"/>
      <w:numFmt w:val="decimal"/>
      <w:lvlText w:val="%1.%2.%3.%4.%5.%6."/>
      <w:lvlJc w:val="left"/>
      <w:pPr>
        <w:ind w:left="8535" w:hanging="1440"/>
      </w:pPr>
      <w:rPr>
        <w:rFonts w:hint="default"/>
      </w:rPr>
    </w:lvl>
    <w:lvl w:ilvl="6">
      <w:start w:val="1"/>
      <w:numFmt w:val="decimal"/>
      <w:lvlText w:val="%1.%2.%3.%4.%5.%6.%7."/>
      <w:lvlJc w:val="left"/>
      <w:pPr>
        <w:ind w:left="10314" w:hanging="1800"/>
      </w:pPr>
      <w:rPr>
        <w:rFonts w:hint="default"/>
      </w:rPr>
    </w:lvl>
    <w:lvl w:ilvl="7">
      <w:start w:val="1"/>
      <w:numFmt w:val="decimal"/>
      <w:lvlText w:val="%1.%2.%3.%4.%5.%6.%7.%8."/>
      <w:lvlJc w:val="left"/>
      <w:pPr>
        <w:ind w:left="11733" w:hanging="1800"/>
      </w:pPr>
      <w:rPr>
        <w:rFonts w:hint="default"/>
      </w:rPr>
    </w:lvl>
    <w:lvl w:ilvl="8">
      <w:start w:val="1"/>
      <w:numFmt w:val="decimal"/>
      <w:lvlText w:val="%1.%2.%3.%4.%5.%6.%7.%8.%9."/>
      <w:lvlJc w:val="left"/>
      <w:pPr>
        <w:ind w:left="13512" w:hanging="2160"/>
      </w:pPr>
      <w:rPr>
        <w:rFonts w:hint="default"/>
      </w:rPr>
    </w:lvl>
  </w:abstractNum>
  <w:abstractNum w:abstractNumId="55" w15:restartNumberingAfterBreak="0">
    <w:nsid w:val="377B295C"/>
    <w:multiLevelType w:val="hybridMultilevel"/>
    <w:tmpl w:val="CA720836"/>
    <w:lvl w:ilvl="0" w:tplc="080C0017">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6" w15:restartNumberingAfterBreak="0">
    <w:nsid w:val="37851FAB"/>
    <w:multiLevelType w:val="hybridMultilevel"/>
    <w:tmpl w:val="6520EA8C"/>
    <w:lvl w:ilvl="0" w:tplc="A39AE28A">
      <w:start w:val="2"/>
      <w:numFmt w:val="bullet"/>
      <w:lvlText w:val="-"/>
      <w:lvlJc w:val="left"/>
      <w:pPr>
        <w:ind w:left="720" w:hanging="360"/>
      </w:pPr>
      <w:rPr>
        <w:rFonts w:ascii="Tahoma" w:eastAsia="Times New Roman" w:hAnsi="Tahoma" w:cs="Tahoma"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7" w15:restartNumberingAfterBreak="0">
    <w:nsid w:val="37FA37F5"/>
    <w:multiLevelType w:val="hybridMultilevel"/>
    <w:tmpl w:val="F0F0B7E8"/>
    <w:lvl w:ilvl="0" w:tplc="040C0001">
      <w:start w:val="1"/>
      <w:numFmt w:val="bullet"/>
      <w:lvlText w:val=""/>
      <w:lvlJc w:val="left"/>
      <w:pPr>
        <w:tabs>
          <w:tab w:val="num" w:pos="720"/>
        </w:tabs>
        <w:ind w:left="720" w:hanging="360"/>
      </w:pPr>
      <w:rPr>
        <w:rFonts w:ascii="Symbol" w:hAnsi="Symbol" w:hint="default"/>
      </w:rPr>
    </w:lvl>
    <w:lvl w:ilvl="1" w:tplc="3BCED80E">
      <w:start w:val="1"/>
      <w:numFmt w:val="bullet"/>
      <w:lvlText w:val=""/>
      <w:lvlJc w:val="left"/>
      <w:pPr>
        <w:tabs>
          <w:tab w:val="num" w:pos="1440"/>
        </w:tabs>
        <w:ind w:left="1440" w:hanging="360"/>
      </w:pPr>
      <w:rPr>
        <w:rFonts w:ascii="Wingdings"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9C4414A"/>
    <w:multiLevelType w:val="hybridMultilevel"/>
    <w:tmpl w:val="C8DC3406"/>
    <w:lvl w:ilvl="0" w:tplc="B532B36E">
      <w:start w:val="1"/>
      <w:numFmt w:val="bullet"/>
      <w:lvlText w:val="-"/>
      <w:lvlJc w:val="left"/>
      <w:pPr>
        <w:tabs>
          <w:tab w:val="num" w:pos="720"/>
        </w:tabs>
        <w:ind w:left="720" w:hanging="360"/>
      </w:pPr>
      <w:rPr>
        <w:rFonts w:ascii="Arial" w:hAnsi="Arial"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59" w15:restartNumberingAfterBreak="0">
    <w:nsid w:val="3A162490"/>
    <w:multiLevelType w:val="hybridMultilevel"/>
    <w:tmpl w:val="9D122524"/>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3A8E236F"/>
    <w:multiLevelType w:val="hybridMultilevel"/>
    <w:tmpl w:val="49D033CC"/>
    <w:lvl w:ilvl="0" w:tplc="035C1FF4">
      <w:start w:val="1"/>
      <w:numFmt w:val="bullet"/>
      <w:lvlText w:val="-"/>
      <w:lvlJc w:val="left"/>
      <w:pPr>
        <w:ind w:left="720" w:hanging="360"/>
      </w:pPr>
      <w:rPr>
        <w:rFonts w:ascii="Arial" w:eastAsia="Times New Roman" w:hAnsi="Arial" w:cs="Aria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1" w15:restartNumberingAfterBreak="0">
    <w:nsid w:val="3AD7132D"/>
    <w:multiLevelType w:val="hybridMultilevel"/>
    <w:tmpl w:val="37F89E0C"/>
    <w:lvl w:ilvl="0" w:tplc="82D6E192">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2" w15:restartNumberingAfterBreak="0">
    <w:nsid w:val="3B125E97"/>
    <w:multiLevelType w:val="hybridMultilevel"/>
    <w:tmpl w:val="084835B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63" w15:restartNumberingAfterBreak="0">
    <w:nsid w:val="3B5B4AAE"/>
    <w:multiLevelType w:val="hybridMultilevel"/>
    <w:tmpl w:val="61C2AAD8"/>
    <w:lvl w:ilvl="0" w:tplc="D472B272">
      <w:numFmt w:val="bullet"/>
      <w:lvlText w:val="-"/>
      <w:lvlJc w:val="left"/>
      <w:pPr>
        <w:ind w:left="720" w:hanging="360"/>
      </w:pPr>
      <w:rPr>
        <w:rFonts w:ascii="Calibri" w:eastAsia="Calibri" w:hAnsi="Calibri" w:cs="Calibri"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4" w15:restartNumberingAfterBreak="0">
    <w:nsid w:val="3B7E0EEA"/>
    <w:multiLevelType w:val="multilevel"/>
    <w:tmpl w:val="D2F49B3A"/>
    <w:lvl w:ilvl="0">
      <w:start w:val="6"/>
      <w:numFmt w:val="decimal"/>
      <w:lvlText w:val="%1."/>
      <w:lvlJc w:val="left"/>
      <w:pPr>
        <w:ind w:left="450" w:hanging="450"/>
      </w:pPr>
      <w:rPr>
        <w:rFonts w:hint="default"/>
      </w:rPr>
    </w:lvl>
    <w:lvl w:ilvl="1">
      <w:start w:val="1"/>
      <w:numFmt w:val="decimal"/>
      <w:lvlText w:val="%1.%2."/>
      <w:lvlJc w:val="left"/>
      <w:pPr>
        <w:ind w:left="2139" w:hanging="720"/>
      </w:pPr>
      <w:rPr>
        <w:rFonts w:hint="default"/>
      </w:rPr>
    </w:lvl>
    <w:lvl w:ilvl="2">
      <w:start w:val="1"/>
      <w:numFmt w:val="decimal"/>
      <w:lvlText w:val="%1.%2.%3."/>
      <w:lvlJc w:val="left"/>
      <w:pPr>
        <w:ind w:left="3558" w:hanging="720"/>
      </w:pPr>
      <w:rPr>
        <w:rFonts w:hint="default"/>
      </w:rPr>
    </w:lvl>
    <w:lvl w:ilvl="3">
      <w:start w:val="1"/>
      <w:numFmt w:val="decimal"/>
      <w:lvlText w:val="%1.%2.%3.%4."/>
      <w:lvlJc w:val="left"/>
      <w:pPr>
        <w:ind w:left="5337" w:hanging="1080"/>
      </w:pPr>
      <w:rPr>
        <w:rFonts w:hint="default"/>
      </w:rPr>
    </w:lvl>
    <w:lvl w:ilvl="4">
      <w:start w:val="1"/>
      <w:numFmt w:val="decimal"/>
      <w:lvlText w:val="%1.%2.%3.%4.%5."/>
      <w:lvlJc w:val="left"/>
      <w:pPr>
        <w:ind w:left="6756" w:hanging="1080"/>
      </w:pPr>
      <w:rPr>
        <w:rFonts w:hint="default"/>
      </w:rPr>
    </w:lvl>
    <w:lvl w:ilvl="5">
      <w:start w:val="1"/>
      <w:numFmt w:val="decimal"/>
      <w:lvlText w:val="%1.%2.%3.%4.%5.%6."/>
      <w:lvlJc w:val="left"/>
      <w:pPr>
        <w:ind w:left="8535" w:hanging="1440"/>
      </w:pPr>
      <w:rPr>
        <w:rFonts w:hint="default"/>
      </w:rPr>
    </w:lvl>
    <w:lvl w:ilvl="6">
      <w:start w:val="1"/>
      <w:numFmt w:val="decimal"/>
      <w:lvlText w:val="%1.%2.%3.%4.%5.%6.%7."/>
      <w:lvlJc w:val="left"/>
      <w:pPr>
        <w:ind w:left="10314" w:hanging="1800"/>
      </w:pPr>
      <w:rPr>
        <w:rFonts w:hint="default"/>
      </w:rPr>
    </w:lvl>
    <w:lvl w:ilvl="7">
      <w:start w:val="1"/>
      <w:numFmt w:val="decimal"/>
      <w:lvlText w:val="%1.%2.%3.%4.%5.%6.%7.%8."/>
      <w:lvlJc w:val="left"/>
      <w:pPr>
        <w:ind w:left="11733" w:hanging="1800"/>
      </w:pPr>
      <w:rPr>
        <w:rFonts w:hint="default"/>
      </w:rPr>
    </w:lvl>
    <w:lvl w:ilvl="8">
      <w:start w:val="1"/>
      <w:numFmt w:val="decimal"/>
      <w:lvlText w:val="%1.%2.%3.%4.%5.%6.%7.%8.%9."/>
      <w:lvlJc w:val="left"/>
      <w:pPr>
        <w:ind w:left="13512" w:hanging="2160"/>
      </w:pPr>
      <w:rPr>
        <w:rFonts w:hint="default"/>
      </w:rPr>
    </w:lvl>
  </w:abstractNum>
  <w:abstractNum w:abstractNumId="65" w15:restartNumberingAfterBreak="0">
    <w:nsid w:val="3C4909C1"/>
    <w:multiLevelType w:val="hybridMultilevel"/>
    <w:tmpl w:val="E4CE5E5A"/>
    <w:lvl w:ilvl="0" w:tplc="337EF7D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66" w15:restartNumberingAfterBreak="0">
    <w:nsid w:val="3C5D69F1"/>
    <w:multiLevelType w:val="hybridMultilevel"/>
    <w:tmpl w:val="3CB6A6AE"/>
    <w:lvl w:ilvl="0" w:tplc="FA7E5FAE">
      <w:numFmt w:val="bullet"/>
      <w:lvlText w:val="-"/>
      <w:lvlJc w:val="left"/>
      <w:pPr>
        <w:tabs>
          <w:tab w:val="num" w:pos="720"/>
        </w:tabs>
        <w:ind w:left="720" w:hanging="360"/>
      </w:pPr>
      <w:rPr>
        <w:rFonts w:ascii="Georgia" w:eastAsia="ITC Zapf Chancery" w:hAnsi="Georgia" w:cs="ITC Zapf Chancery"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3DFA58D0"/>
    <w:multiLevelType w:val="multilevel"/>
    <w:tmpl w:val="D2F49B3A"/>
    <w:lvl w:ilvl="0">
      <w:start w:val="5"/>
      <w:numFmt w:val="decimal"/>
      <w:lvlText w:val="%1."/>
      <w:lvlJc w:val="left"/>
      <w:pPr>
        <w:ind w:left="450" w:hanging="450"/>
      </w:pPr>
      <w:rPr>
        <w:rFonts w:hint="default"/>
      </w:rPr>
    </w:lvl>
    <w:lvl w:ilvl="1">
      <w:start w:val="1"/>
      <w:numFmt w:val="decimal"/>
      <w:lvlText w:val="%1.%2."/>
      <w:lvlJc w:val="left"/>
      <w:pPr>
        <w:ind w:left="2139" w:hanging="72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5337" w:hanging="1080"/>
      </w:pPr>
      <w:rPr>
        <w:rFonts w:hint="default"/>
      </w:rPr>
    </w:lvl>
    <w:lvl w:ilvl="4">
      <w:start w:val="1"/>
      <w:numFmt w:val="decimal"/>
      <w:lvlText w:val="%1.%2.%3.%4.%5."/>
      <w:lvlJc w:val="left"/>
      <w:pPr>
        <w:ind w:left="6756" w:hanging="1080"/>
      </w:pPr>
      <w:rPr>
        <w:rFonts w:hint="default"/>
      </w:rPr>
    </w:lvl>
    <w:lvl w:ilvl="5">
      <w:start w:val="1"/>
      <w:numFmt w:val="decimal"/>
      <w:lvlText w:val="%1.%2.%3.%4.%5.%6."/>
      <w:lvlJc w:val="left"/>
      <w:pPr>
        <w:ind w:left="8535" w:hanging="1440"/>
      </w:pPr>
      <w:rPr>
        <w:rFonts w:hint="default"/>
      </w:rPr>
    </w:lvl>
    <w:lvl w:ilvl="6">
      <w:start w:val="1"/>
      <w:numFmt w:val="decimal"/>
      <w:lvlText w:val="%1.%2.%3.%4.%5.%6.%7."/>
      <w:lvlJc w:val="left"/>
      <w:pPr>
        <w:ind w:left="10314" w:hanging="1800"/>
      </w:pPr>
      <w:rPr>
        <w:rFonts w:hint="default"/>
      </w:rPr>
    </w:lvl>
    <w:lvl w:ilvl="7">
      <w:start w:val="1"/>
      <w:numFmt w:val="decimal"/>
      <w:lvlText w:val="%1.%2.%3.%4.%5.%6.%7.%8."/>
      <w:lvlJc w:val="left"/>
      <w:pPr>
        <w:ind w:left="11733" w:hanging="1800"/>
      </w:pPr>
      <w:rPr>
        <w:rFonts w:hint="default"/>
      </w:rPr>
    </w:lvl>
    <w:lvl w:ilvl="8">
      <w:start w:val="1"/>
      <w:numFmt w:val="decimal"/>
      <w:lvlText w:val="%1.%2.%3.%4.%5.%6.%7.%8.%9."/>
      <w:lvlJc w:val="left"/>
      <w:pPr>
        <w:ind w:left="13512" w:hanging="2160"/>
      </w:pPr>
      <w:rPr>
        <w:rFonts w:hint="default"/>
      </w:rPr>
    </w:lvl>
  </w:abstractNum>
  <w:abstractNum w:abstractNumId="68" w15:restartNumberingAfterBreak="0">
    <w:nsid w:val="3E7B2419"/>
    <w:multiLevelType w:val="hybridMultilevel"/>
    <w:tmpl w:val="C6506820"/>
    <w:lvl w:ilvl="0" w:tplc="548850F6">
      <w:start w:val="3"/>
      <w:numFmt w:val="bullet"/>
      <w:lvlText w:val=""/>
      <w:lvlJc w:val="left"/>
      <w:pPr>
        <w:tabs>
          <w:tab w:val="num" w:pos="1440"/>
        </w:tabs>
        <w:ind w:left="144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3FDA3D2D"/>
    <w:multiLevelType w:val="hybridMultilevel"/>
    <w:tmpl w:val="3112E2CE"/>
    <w:lvl w:ilvl="0" w:tplc="D472B272">
      <w:numFmt w:val="bullet"/>
      <w:lvlText w:val="-"/>
      <w:lvlJc w:val="left"/>
      <w:pPr>
        <w:ind w:left="720" w:hanging="360"/>
      </w:pPr>
      <w:rPr>
        <w:rFonts w:ascii="Calibri" w:eastAsia="Calibr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0" w15:restartNumberingAfterBreak="0">
    <w:nsid w:val="400C4735"/>
    <w:multiLevelType w:val="hybridMultilevel"/>
    <w:tmpl w:val="F5B23CE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1" w15:restartNumberingAfterBreak="0">
    <w:nsid w:val="40A778ED"/>
    <w:multiLevelType w:val="hybridMultilevel"/>
    <w:tmpl w:val="D16A51F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2" w15:restartNumberingAfterBreak="0">
    <w:nsid w:val="419B1692"/>
    <w:multiLevelType w:val="multilevel"/>
    <w:tmpl w:val="9A86992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3" w15:restartNumberingAfterBreak="0">
    <w:nsid w:val="41D13D5E"/>
    <w:multiLevelType w:val="multilevel"/>
    <w:tmpl w:val="10D4E244"/>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4" w15:restartNumberingAfterBreak="0">
    <w:nsid w:val="444A12C9"/>
    <w:multiLevelType w:val="hybridMultilevel"/>
    <w:tmpl w:val="A950E3F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5" w15:restartNumberingAfterBreak="0">
    <w:nsid w:val="44E84965"/>
    <w:multiLevelType w:val="hybridMultilevel"/>
    <w:tmpl w:val="832CA75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6" w15:restartNumberingAfterBreak="0">
    <w:nsid w:val="45994810"/>
    <w:multiLevelType w:val="hybridMultilevel"/>
    <w:tmpl w:val="99B0A2FE"/>
    <w:lvl w:ilvl="0" w:tplc="035C1FF4">
      <w:start w:val="1"/>
      <w:numFmt w:val="bullet"/>
      <w:lvlText w:val="-"/>
      <w:lvlJc w:val="left"/>
      <w:pPr>
        <w:ind w:left="720" w:hanging="360"/>
      </w:pPr>
      <w:rPr>
        <w:rFonts w:ascii="Arial" w:eastAsia="Times New Roman"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7" w15:restartNumberingAfterBreak="0">
    <w:nsid w:val="461D78C8"/>
    <w:multiLevelType w:val="hybridMultilevel"/>
    <w:tmpl w:val="C9A4182E"/>
    <w:lvl w:ilvl="0" w:tplc="B6A6A888">
      <w:numFmt w:val="bullet"/>
      <w:lvlText w:val="-"/>
      <w:lvlJc w:val="left"/>
      <w:pPr>
        <w:ind w:left="720" w:hanging="360"/>
      </w:pPr>
      <w:rPr>
        <w:rFonts w:ascii="Calibri" w:eastAsia="Calibri" w:hAnsi="Calibri" w:cs="Calibri"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start w:val="1"/>
      <w:numFmt w:val="bullet"/>
      <w:lvlText w:val="o"/>
      <w:lvlJc w:val="left"/>
      <w:pPr>
        <w:ind w:left="3600" w:hanging="360"/>
      </w:pPr>
      <w:rPr>
        <w:rFonts w:ascii="Courier New" w:hAnsi="Courier New" w:cs="Courier New" w:hint="default"/>
      </w:rPr>
    </w:lvl>
    <w:lvl w:ilvl="5" w:tplc="080C0005">
      <w:start w:val="1"/>
      <w:numFmt w:val="bullet"/>
      <w:lvlText w:val=""/>
      <w:lvlJc w:val="left"/>
      <w:pPr>
        <w:ind w:left="4320" w:hanging="360"/>
      </w:pPr>
      <w:rPr>
        <w:rFonts w:ascii="Wingdings" w:hAnsi="Wingdings" w:hint="default"/>
      </w:rPr>
    </w:lvl>
    <w:lvl w:ilvl="6" w:tplc="080C0001">
      <w:start w:val="1"/>
      <w:numFmt w:val="bullet"/>
      <w:lvlText w:val=""/>
      <w:lvlJc w:val="left"/>
      <w:pPr>
        <w:ind w:left="5040" w:hanging="360"/>
      </w:pPr>
      <w:rPr>
        <w:rFonts w:ascii="Symbol" w:hAnsi="Symbol" w:hint="default"/>
      </w:rPr>
    </w:lvl>
    <w:lvl w:ilvl="7" w:tplc="080C0003">
      <w:start w:val="1"/>
      <w:numFmt w:val="bullet"/>
      <w:lvlText w:val="o"/>
      <w:lvlJc w:val="left"/>
      <w:pPr>
        <w:ind w:left="5760" w:hanging="360"/>
      </w:pPr>
      <w:rPr>
        <w:rFonts w:ascii="Courier New" w:hAnsi="Courier New" w:cs="Courier New" w:hint="default"/>
      </w:rPr>
    </w:lvl>
    <w:lvl w:ilvl="8" w:tplc="080C0005">
      <w:start w:val="1"/>
      <w:numFmt w:val="bullet"/>
      <w:lvlText w:val=""/>
      <w:lvlJc w:val="left"/>
      <w:pPr>
        <w:ind w:left="6480" w:hanging="360"/>
      </w:pPr>
      <w:rPr>
        <w:rFonts w:ascii="Wingdings" w:hAnsi="Wingdings" w:hint="default"/>
      </w:rPr>
    </w:lvl>
  </w:abstractNum>
  <w:abstractNum w:abstractNumId="78" w15:restartNumberingAfterBreak="0">
    <w:nsid w:val="466A24F7"/>
    <w:multiLevelType w:val="hybridMultilevel"/>
    <w:tmpl w:val="A828BA42"/>
    <w:lvl w:ilvl="0" w:tplc="FA7E5FAE">
      <w:numFmt w:val="bullet"/>
      <w:lvlText w:val="-"/>
      <w:lvlJc w:val="left"/>
      <w:pPr>
        <w:tabs>
          <w:tab w:val="num" w:pos="720"/>
        </w:tabs>
        <w:ind w:left="720" w:hanging="360"/>
      </w:pPr>
      <w:rPr>
        <w:rFonts w:ascii="Georgia" w:eastAsia="ITC Zapf Chancery" w:hAnsi="Georgia" w:cs="ITC Zapf Chancery"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493B1AC5"/>
    <w:multiLevelType w:val="multilevel"/>
    <w:tmpl w:val="124AF4F2"/>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0" w15:restartNumberingAfterBreak="0">
    <w:nsid w:val="4BA37D4A"/>
    <w:multiLevelType w:val="hybridMultilevel"/>
    <w:tmpl w:val="8B88538A"/>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1" w15:restartNumberingAfterBreak="0">
    <w:nsid w:val="4C924956"/>
    <w:multiLevelType w:val="hybridMultilevel"/>
    <w:tmpl w:val="6B2AB4EC"/>
    <w:lvl w:ilvl="0" w:tplc="548850F6">
      <w:start w:val="3"/>
      <w:numFmt w:val="bullet"/>
      <w:lvlText w:val=""/>
      <w:lvlJc w:val="left"/>
      <w:pPr>
        <w:tabs>
          <w:tab w:val="num" w:pos="1440"/>
        </w:tabs>
        <w:ind w:left="144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4DEE7B98"/>
    <w:multiLevelType w:val="hybridMultilevel"/>
    <w:tmpl w:val="78A25AF0"/>
    <w:lvl w:ilvl="0" w:tplc="040C0001">
      <w:start w:val="1"/>
      <w:numFmt w:val="bullet"/>
      <w:lvlText w:val=""/>
      <w:lvlJc w:val="left"/>
      <w:pPr>
        <w:tabs>
          <w:tab w:val="num" w:pos="720"/>
        </w:tabs>
        <w:ind w:left="720" w:hanging="360"/>
      </w:pPr>
      <w:rPr>
        <w:rFonts w:ascii="Symbol" w:hAnsi="Symbol" w:hint="default"/>
      </w:rPr>
    </w:lvl>
    <w:lvl w:ilvl="1" w:tplc="B8541AE8">
      <w:numFmt w:val="bullet"/>
      <w:lvlText w:val="-"/>
      <w:lvlJc w:val="left"/>
      <w:pPr>
        <w:tabs>
          <w:tab w:val="num" w:pos="1440"/>
        </w:tabs>
        <w:ind w:left="1440" w:hanging="360"/>
      </w:pPr>
      <w:rPr>
        <w:rFonts w:ascii="Tahoma" w:eastAsia="Times New Roman" w:hAnsi="Tahoma" w:cs="Tahoma"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4F9136F2"/>
    <w:multiLevelType w:val="hybridMultilevel"/>
    <w:tmpl w:val="21589C92"/>
    <w:lvl w:ilvl="0" w:tplc="FA7E5FAE">
      <w:numFmt w:val="bullet"/>
      <w:lvlText w:val="-"/>
      <w:lvlJc w:val="left"/>
      <w:pPr>
        <w:tabs>
          <w:tab w:val="num" w:pos="720"/>
        </w:tabs>
        <w:ind w:left="720" w:hanging="360"/>
      </w:pPr>
      <w:rPr>
        <w:rFonts w:ascii="Georgia" w:eastAsia="ITC Zapf Chancery" w:hAnsi="Georgia" w:cs="ITC Zapf Chancery"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0AB6AF7"/>
    <w:multiLevelType w:val="multilevel"/>
    <w:tmpl w:val="8D00A21C"/>
    <w:lvl w:ilvl="0">
      <w:start w:val="10"/>
      <w:numFmt w:val="decimal"/>
      <w:lvlText w:val="%1"/>
      <w:lvlJc w:val="left"/>
      <w:pPr>
        <w:ind w:left="375" w:hanging="375"/>
      </w:pPr>
      <w:rPr>
        <w:rFonts w:hint="default"/>
      </w:rPr>
    </w:lvl>
    <w:lvl w:ilvl="1">
      <w:start w:val="4"/>
      <w:numFmt w:val="decimal"/>
      <w:lvlText w:val="%1.%2"/>
      <w:lvlJc w:val="left"/>
      <w:pPr>
        <w:ind w:left="5337" w:hanging="375"/>
      </w:pPr>
      <w:rPr>
        <w:rFonts w:hint="default"/>
      </w:rPr>
    </w:lvl>
    <w:lvl w:ilvl="2">
      <w:start w:val="1"/>
      <w:numFmt w:val="decimal"/>
      <w:lvlText w:val="%1.%2.%3"/>
      <w:lvlJc w:val="left"/>
      <w:pPr>
        <w:ind w:left="10644" w:hanging="720"/>
      </w:pPr>
      <w:rPr>
        <w:rFonts w:hint="default"/>
      </w:rPr>
    </w:lvl>
    <w:lvl w:ilvl="3">
      <w:start w:val="1"/>
      <w:numFmt w:val="decimal"/>
      <w:lvlText w:val="%1.%2.%3.%4"/>
      <w:lvlJc w:val="left"/>
      <w:pPr>
        <w:ind w:left="15606" w:hanging="720"/>
      </w:pPr>
      <w:rPr>
        <w:rFonts w:hint="default"/>
      </w:rPr>
    </w:lvl>
    <w:lvl w:ilvl="4">
      <w:start w:val="1"/>
      <w:numFmt w:val="decimal"/>
      <w:lvlText w:val="%1.%2.%3.%4.%5"/>
      <w:lvlJc w:val="left"/>
      <w:pPr>
        <w:ind w:left="20928" w:hanging="1080"/>
      </w:pPr>
      <w:rPr>
        <w:rFonts w:hint="default"/>
      </w:rPr>
    </w:lvl>
    <w:lvl w:ilvl="5">
      <w:start w:val="1"/>
      <w:numFmt w:val="decimal"/>
      <w:lvlText w:val="%1.%2.%3.%4.%5.%6"/>
      <w:lvlJc w:val="left"/>
      <w:pPr>
        <w:ind w:left="25890" w:hanging="1080"/>
      </w:pPr>
      <w:rPr>
        <w:rFonts w:hint="default"/>
      </w:rPr>
    </w:lvl>
    <w:lvl w:ilvl="6">
      <w:start w:val="1"/>
      <w:numFmt w:val="decimal"/>
      <w:lvlText w:val="%1.%2.%3.%4.%5.%6.%7"/>
      <w:lvlJc w:val="left"/>
      <w:pPr>
        <w:ind w:left="31212" w:hanging="1440"/>
      </w:pPr>
      <w:rPr>
        <w:rFonts w:hint="default"/>
      </w:rPr>
    </w:lvl>
    <w:lvl w:ilvl="7">
      <w:start w:val="1"/>
      <w:numFmt w:val="decimal"/>
      <w:lvlText w:val="%1.%2.%3.%4.%5.%6.%7.%8"/>
      <w:lvlJc w:val="left"/>
      <w:pPr>
        <w:ind w:left="-29362" w:hanging="1440"/>
      </w:pPr>
      <w:rPr>
        <w:rFonts w:hint="default"/>
      </w:rPr>
    </w:lvl>
    <w:lvl w:ilvl="8">
      <w:start w:val="1"/>
      <w:numFmt w:val="decimal"/>
      <w:lvlText w:val="%1.%2.%3.%4.%5.%6.%7.%8.%9"/>
      <w:lvlJc w:val="left"/>
      <w:pPr>
        <w:ind w:left="-24040" w:hanging="1800"/>
      </w:pPr>
      <w:rPr>
        <w:rFonts w:hint="default"/>
      </w:rPr>
    </w:lvl>
  </w:abstractNum>
  <w:abstractNum w:abstractNumId="85" w15:restartNumberingAfterBreak="0">
    <w:nsid w:val="528A3323"/>
    <w:multiLevelType w:val="hybridMultilevel"/>
    <w:tmpl w:val="298A200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6" w15:restartNumberingAfterBreak="0">
    <w:nsid w:val="52F37B2E"/>
    <w:multiLevelType w:val="multilevel"/>
    <w:tmpl w:val="C0B6913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7" w15:restartNumberingAfterBreak="0">
    <w:nsid w:val="5349617C"/>
    <w:multiLevelType w:val="hybridMultilevel"/>
    <w:tmpl w:val="5C4A2120"/>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8" w15:restartNumberingAfterBreak="0">
    <w:nsid w:val="53A51B14"/>
    <w:multiLevelType w:val="hybridMultilevel"/>
    <w:tmpl w:val="11C87658"/>
    <w:lvl w:ilvl="0" w:tplc="08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53DF4A1A"/>
    <w:multiLevelType w:val="multilevel"/>
    <w:tmpl w:val="295C3586"/>
    <w:lvl w:ilvl="0">
      <w:start w:val="8"/>
      <w:numFmt w:val="decimal"/>
      <w:lvlText w:val="%1."/>
      <w:lvlJc w:val="left"/>
      <w:pPr>
        <w:ind w:left="450" w:hanging="450"/>
      </w:pPr>
      <w:rPr>
        <w:rFonts w:hint="default"/>
      </w:rPr>
    </w:lvl>
    <w:lvl w:ilvl="1">
      <w:start w:val="1"/>
      <w:numFmt w:val="decimal"/>
      <w:lvlText w:val="%1.%2."/>
      <w:lvlJc w:val="left"/>
      <w:pPr>
        <w:ind w:left="2139" w:hanging="720"/>
      </w:pPr>
      <w:rPr>
        <w:rFonts w:hint="default"/>
      </w:rPr>
    </w:lvl>
    <w:lvl w:ilvl="2">
      <w:start w:val="1"/>
      <w:numFmt w:val="decimal"/>
      <w:lvlText w:val="%1.%2.%3."/>
      <w:lvlJc w:val="left"/>
      <w:pPr>
        <w:ind w:left="3558" w:hanging="720"/>
      </w:pPr>
      <w:rPr>
        <w:rFonts w:hint="default"/>
      </w:rPr>
    </w:lvl>
    <w:lvl w:ilvl="3">
      <w:start w:val="1"/>
      <w:numFmt w:val="decimal"/>
      <w:lvlText w:val="%1.%2.%3.%4."/>
      <w:lvlJc w:val="left"/>
      <w:pPr>
        <w:ind w:left="5337" w:hanging="1080"/>
      </w:pPr>
      <w:rPr>
        <w:rFonts w:hint="default"/>
      </w:rPr>
    </w:lvl>
    <w:lvl w:ilvl="4">
      <w:start w:val="1"/>
      <w:numFmt w:val="decimal"/>
      <w:lvlText w:val="%1.%2.%3.%4.%5."/>
      <w:lvlJc w:val="left"/>
      <w:pPr>
        <w:ind w:left="6756" w:hanging="1080"/>
      </w:pPr>
      <w:rPr>
        <w:rFonts w:hint="default"/>
      </w:rPr>
    </w:lvl>
    <w:lvl w:ilvl="5">
      <w:start w:val="1"/>
      <w:numFmt w:val="decimal"/>
      <w:lvlText w:val="%1.%2.%3.%4.%5.%6."/>
      <w:lvlJc w:val="left"/>
      <w:pPr>
        <w:ind w:left="8535" w:hanging="1440"/>
      </w:pPr>
      <w:rPr>
        <w:rFonts w:hint="default"/>
      </w:rPr>
    </w:lvl>
    <w:lvl w:ilvl="6">
      <w:start w:val="1"/>
      <w:numFmt w:val="decimal"/>
      <w:lvlText w:val="%1.%2.%3.%4.%5.%6.%7."/>
      <w:lvlJc w:val="left"/>
      <w:pPr>
        <w:ind w:left="10314" w:hanging="1800"/>
      </w:pPr>
      <w:rPr>
        <w:rFonts w:hint="default"/>
      </w:rPr>
    </w:lvl>
    <w:lvl w:ilvl="7">
      <w:start w:val="1"/>
      <w:numFmt w:val="decimal"/>
      <w:lvlText w:val="%1.%2.%3.%4.%5.%6.%7.%8."/>
      <w:lvlJc w:val="left"/>
      <w:pPr>
        <w:ind w:left="11733" w:hanging="1800"/>
      </w:pPr>
      <w:rPr>
        <w:rFonts w:hint="default"/>
      </w:rPr>
    </w:lvl>
    <w:lvl w:ilvl="8">
      <w:start w:val="1"/>
      <w:numFmt w:val="decimal"/>
      <w:lvlText w:val="%1.%2.%3.%4.%5.%6.%7.%8.%9."/>
      <w:lvlJc w:val="left"/>
      <w:pPr>
        <w:ind w:left="13512" w:hanging="2160"/>
      </w:pPr>
      <w:rPr>
        <w:rFonts w:hint="default"/>
      </w:rPr>
    </w:lvl>
  </w:abstractNum>
  <w:abstractNum w:abstractNumId="90" w15:restartNumberingAfterBreak="0">
    <w:nsid w:val="54674D28"/>
    <w:multiLevelType w:val="hybridMultilevel"/>
    <w:tmpl w:val="76DC6C16"/>
    <w:lvl w:ilvl="0" w:tplc="2338987E">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91" w15:restartNumberingAfterBreak="0">
    <w:nsid w:val="547374EC"/>
    <w:multiLevelType w:val="hybridMultilevel"/>
    <w:tmpl w:val="98DA8834"/>
    <w:lvl w:ilvl="0" w:tplc="035C1FF4">
      <w:start w:val="1"/>
      <w:numFmt w:val="bullet"/>
      <w:lvlText w:val="-"/>
      <w:lvlJc w:val="left"/>
      <w:pPr>
        <w:ind w:left="720" w:hanging="360"/>
      </w:pPr>
      <w:rPr>
        <w:rFonts w:ascii="Arial" w:eastAsia="Times New Roman"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2" w15:restartNumberingAfterBreak="0">
    <w:nsid w:val="57193132"/>
    <w:multiLevelType w:val="hybridMultilevel"/>
    <w:tmpl w:val="233C3814"/>
    <w:lvl w:ilvl="0" w:tplc="035C1FF4">
      <w:start w:val="1"/>
      <w:numFmt w:val="bullet"/>
      <w:lvlText w:val="-"/>
      <w:lvlJc w:val="left"/>
      <w:pPr>
        <w:ind w:left="720" w:hanging="360"/>
      </w:pPr>
      <w:rPr>
        <w:rFonts w:ascii="Arial" w:eastAsia="Times New Roman" w:hAnsi="Aria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3" w15:restartNumberingAfterBreak="0">
    <w:nsid w:val="57982D35"/>
    <w:multiLevelType w:val="hybridMultilevel"/>
    <w:tmpl w:val="05A03A6E"/>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start w:val="1"/>
      <w:numFmt w:val="bullet"/>
      <w:lvlText w:val=""/>
      <w:lvlJc w:val="left"/>
      <w:pPr>
        <w:ind w:left="2160" w:hanging="360"/>
      </w:pPr>
      <w:rPr>
        <w:rFonts w:ascii="Wingdings" w:hAnsi="Wingdings" w:hint="default"/>
      </w:rPr>
    </w:lvl>
    <w:lvl w:ilvl="3" w:tplc="080C000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4" w15:restartNumberingAfterBreak="0">
    <w:nsid w:val="57BF0433"/>
    <w:multiLevelType w:val="hybridMultilevel"/>
    <w:tmpl w:val="10B06E9C"/>
    <w:lvl w:ilvl="0" w:tplc="040C000F">
      <w:start w:val="1"/>
      <w:numFmt w:val="decimal"/>
      <w:lvlText w:val="%1."/>
      <w:lvlJc w:val="left"/>
      <w:pPr>
        <w:tabs>
          <w:tab w:val="num" w:pos="720"/>
        </w:tabs>
        <w:ind w:left="720" w:hanging="360"/>
      </w:pPr>
      <w:rPr>
        <w:rFonts w:hint="default"/>
      </w:rPr>
    </w:lvl>
    <w:lvl w:ilvl="1" w:tplc="DBB65CB8">
      <w:start w:val="1"/>
      <w:numFmt w:val="bullet"/>
      <w:lvlText w:val="-"/>
      <w:lvlJc w:val="left"/>
      <w:pPr>
        <w:tabs>
          <w:tab w:val="num" w:pos="1440"/>
        </w:tabs>
        <w:ind w:left="1440" w:hanging="360"/>
      </w:pPr>
      <w:rPr>
        <w:rFonts w:ascii="Tahoma" w:hAnsi="Tahoma"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95" w15:restartNumberingAfterBreak="0">
    <w:nsid w:val="58272BDF"/>
    <w:multiLevelType w:val="hybridMultilevel"/>
    <w:tmpl w:val="9C7E3BA8"/>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96" w15:restartNumberingAfterBreak="0">
    <w:nsid w:val="5A246F79"/>
    <w:multiLevelType w:val="hybridMultilevel"/>
    <w:tmpl w:val="6988006E"/>
    <w:lvl w:ilvl="0" w:tplc="337EF7DC">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97" w15:restartNumberingAfterBreak="0">
    <w:nsid w:val="5B656D7D"/>
    <w:multiLevelType w:val="hybridMultilevel"/>
    <w:tmpl w:val="483CB9DE"/>
    <w:lvl w:ilvl="0" w:tplc="FA7E5FAE">
      <w:numFmt w:val="bullet"/>
      <w:lvlText w:val="-"/>
      <w:lvlJc w:val="left"/>
      <w:pPr>
        <w:tabs>
          <w:tab w:val="num" w:pos="720"/>
        </w:tabs>
        <w:ind w:left="720" w:hanging="360"/>
      </w:pPr>
      <w:rPr>
        <w:rFonts w:ascii="Georgia" w:eastAsia="ITC Zapf Chancery" w:hAnsi="Georgia" w:cs="ITC Zapf Chancery"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5BC1406A"/>
    <w:multiLevelType w:val="hybridMultilevel"/>
    <w:tmpl w:val="B7749110"/>
    <w:lvl w:ilvl="0" w:tplc="080C0017">
      <w:start w:val="1"/>
      <w:numFmt w:val="lowerLetter"/>
      <w:lvlText w:val="%1)"/>
      <w:lvlJc w:val="left"/>
      <w:pPr>
        <w:ind w:left="720" w:hanging="360"/>
      </w:p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99" w15:restartNumberingAfterBreak="0">
    <w:nsid w:val="5DFA1BC4"/>
    <w:multiLevelType w:val="multilevel"/>
    <w:tmpl w:val="06FC4E2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0" w15:restartNumberingAfterBreak="0">
    <w:nsid w:val="5F1C0B0F"/>
    <w:multiLevelType w:val="hybridMultilevel"/>
    <w:tmpl w:val="DBF0FF7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1" w15:restartNumberingAfterBreak="0">
    <w:nsid w:val="610F38E6"/>
    <w:multiLevelType w:val="multilevel"/>
    <w:tmpl w:val="3654811C"/>
    <w:lvl w:ilvl="0">
      <w:start w:val="10"/>
      <w:numFmt w:val="decimal"/>
      <w:lvlText w:val="%1"/>
      <w:lvlJc w:val="left"/>
      <w:pPr>
        <w:ind w:left="600" w:hanging="600"/>
      </w:pPr>
      <w:rPr>
        <w:rFonts w:hint="default"/>
      </w:rPr>
    </w:lvl>
    <w:lvl w:ilvl="1">
      <w:start w:val="4"/>
      <w:numFmt w:val="decimal"/>
      <w:lvlText w:val="%1.%2"/>
      <w:lvlJc w:val="left"/>
      <w:pPr>
        <w:ind w:left="3081" w:hanging="600"/>
      </w:pPr>
      <w:rPr>
        <w:rFonts w:hint="default"/>
      </w:rPr>
    </w:lvl>
    <w:lvl w:ilvl="2">
      <w:start w:val="1"/>
      <w:numFmt w:val="decimal"/>
      <w:lvlText w:val="%1.%2.%3"/>
      <w:lvlJc w:val="left"/>
      <w:pPr>
        <w:ind w:left="5682" w:hanging="720"/>
      </w:pPr>
      <w:rPr>
        <w:rFonts w:hint="default"/>
      </w:rPr>
    </w:lvl>
    <w:lvl w:ilvl="3">
      <w:start w:val="1"/>
      <w:numFmt w:val="decimal"/>
      <w:lvlText w:val="%1.%2.%3.%4"/>
      <w:lvlJc w:val="left"/>
      <w:pPr>
        <w:ind w:left="8163" w:hanging="720"/>
      </w:pPr>
      <w:rPr>
        <w:rFonts w:hint="default"/>
      </w:rPr>
    </w:lvl>
    <w:lvl w:ilvl="4">
      <w:start w:val="1"/>
      <w:numFmt w:val="decimal"/>
      <w:lvlText w:val="%1.%2.%3.%4.%5"/>
      <w:lvlJc w:val="left"/>
      <w:pPr>
        <w:ind w:left="11004" w:hanging="1080"/>
      </w:pPr>
      <w:rPr>
        <w:rFonts w:hint="default"/>
      </w:rPr>
    </w:lvl>
    <w:lvl w:ilvl="5">
      <w:start w:val="1"/>
      <w:numFmt w:val="decimal"/>
      <w:lvlText w:val="%1.%2.%3.%4.%5.%6"/>
      <w:lvlJc w:val="left"/>
      <w:pPr>
        <w:ind w:left="13485" w:hanging="1080"/>
      </w:pPr>
      <w:rPr>
        <w:rFonts w:hint="default"/>
      </w:rPr>
    </w:lvl>
    <w:lvl w:ilvl="6">
      <w:start w:val="1"/>
      <w:numFmt w:val="decimal"/>
      <w:lvlText w:val="%1.%2.%3.%4.%5.%6.%7"/>
      <w:lvlJc w:val="left"/>
      <w:pPr>
        <w:ind w:left="16326" w:hanging="1440"/>
      </w:pPr>
      <w:rPr>
        <w:rFonts w:hint="default"/>
      </w:rPr>
    </w:lvl>
    <w:lvl w:ilvl="7">
      <w:start w:val="1"/>
      <w:numFmt w:val="decimal"/>
      <w:lvlText w:val="%1.%2.%3.%4.%5.%6.%7.%8"/>
      <w:lvlJc w:val="left"/>
      <w:pPr>
        <w:ind w:left="18807" w:hanging="1440"/>
      </w:pPr>
      <w:rPr>
        <w:rFonts w:hint="default"/>
      </w:rPr>
    </w:lvl>
    <w:lvl w:ilvl="8">
      <w:start w:val="1"/>
      <w:numFmt w:val="decimal"/>
      <w:lvlText w:val="%1.%2.%3.%4.%5.%6.%7.%8.%9"/>
      <w:lvlJc w:val="left"/>
      <w:pPr>
        <w:ind w:left="21648" w:hanging="1800"/>
      </w:pPr>
      <w:rPr>
        <w:rFonts w:hint="default"/>
      </w:rPr>
    </w:lvl>
  </w:abstractNum>
  <w:abstractNum w:abstractNumId="102" w15:restartNumberingAfterBreak="0">
    <w:nsid w:val="61EB484F"/>
    <w:multiLevelType w:val="hybridMultilevel"/>
    <w:tmpl w:val="5FE2FC6E"/>
    <w:lvl w:ilvl="0" w:tplc="035C1FF4">
      <w:start w:val="1"/>
      <w:numFmt w:val="bullet"/>
      <w:lvlText w:val="-"/>
      <w:lvlJc w:val="left"/>
      <w:pPr>
        <w:ind w:left="720" w:hanging="360"/>
      </w:pPr>
      <w:rPr>
        <w:rFonts w:ascii="Arial" w:eastAsia="Times New Roman" w:hAnsi="Arial" w:cs="Aria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3" w15:restartNumberingAfterBreak="0">
    <w:nsid w:val="63A03C99"/>
    <w:multiLevelType w:val="hybridMultilevel"/>
    <w:tmpl w:val="ED00CDC4"/>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64196F5E"/>
    <w:multiLevelType w:val="multilevel"/>
    <w:tmpl w:val="CE2AAE4A"/>
    <w:lvl w:ilvl="0">
      <w:start w:val="1"/>
      <w:numFmt w:val="decimal"/>
      <w:lvlText w:val="%1."/>
      <w:lvlJc w:val="left"/>
      <w:pPr>
        <w:ind w:left="720" w:hanging="360"/>
      </w:pPr>
      <w:rPr>
        <w:rFonts w:ascii="Calibri" w:hAnsi="Calibri" w:cs="Calibri" w:hint="default"/>
        <w:b/>
        <w:sz w:val="28"/>
        <w:u w:val="single"/>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5" w15:restartNumberingAfterBreak="0">
    <w:nsid w:val="64BF3DFE"/>
    <w:multiLevelType w:val="hybridMultilevel"/>
    <w:tmpl w:val="ECE82E16"/>
    <w:lvl w:ilvl="0" w:tplc="080C0001">
      <w:start w:val="1"/>
      <w:numFmt w:val="bullet"/>
      <w:lvlText w:val=""/>
      <w:lvlJc w:val="left"/>
      <w:pPr>
        <w:tabs>
          <w:tab w:val="num" w:pos="720"/>
        </w:tabs>
        <w:ind w:left="720" w:hanging="360"/>
      </w:pPr>
      <w:rPr>
        <w:rFonts w:ascii="Symbol" w:hAnsi="Symbol" w:hint="default"/>
      </w:rPr>
    </w:lvl>
    <w:lvl w:ilvl="1" w:tplc="9DF2F21C">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6539063A"/>
    <w:multiLevelType w:val="hybridMultilevel"/>
    <w:tmpl w:val="73A4DFEA"/>
    <w:lvl w:ilvl="0" w:tplc="E7624B62">
      <w:start w:val="3"/>
      <w:numFmt w:val="bullet"/>
      <w:lvlText w:val="-"/>
      <w:lvlJc w:val="left"/>
      <w:pPr>
        <w:ind w:left="720" w:hanging="360"/>
      </w:pPr>
      <w:rPr>
        <w:rFonts w:ascii="Calibri" w:eastAsia="Calibri"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7" w15:restartNumberingAfterBreak="0">
    <w:nsid w:val="66A92572"/>
    <w:multiLevelType w:val="hybridMultilevel"/>
    <w:tmpl w:val="A498FA5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8" w15:restartNumberingAfterBreak="0">
    <w:nsid w:val="67DE09AE"/>
    <w:multiLevelType w:val="hybridMultilevel"/>
    <w:tmpl w:val="004261EA"/>
    <w:lvl w:ilvl="0" w:tplc="040C0001">
      <w:start w:val="1"/>
      <w:numFmt w:val="bullet"/>
      <w:lvlText w:val=""/>
      <w:lvlJc w:val="left"/>
      <w:pPr>
        <w:tabs>
          <w:tab w:val="num" w:pos="1068"/>
        </w:tabs>
        <w:ind w:left="1068" w:hanging="360"/>
      </w:pPr>
      <w:rPr>
        <w:rFonts w:ascii="Symbol" w:hAnsi="Symbol" w:hint="default"/>
      </w:rPr>
    </w:lvl>
    <w:lvl w:ilvl="1" w:tplc="5AFCD07A" w:tentative="1">
      <w:start w:val="1"/>
      <w:numFmt w:val="bullet"/>
      <w:lvlText w:val="-"/>
      <w:lvlJc w:val="left"/>
      <w:pPr>
        <w:tabs>
          <w:tab w:val="num" w:pos="1788"/>
        </w:tabs>
        <w:ind w:left="1788" w:hanging="360"/>
      </w:pPr>
      <w:rPr>
        <w:rFonts w:ascii="Times New Roman" w:hAnsi="Times New Roman" w:hint="default"/>
      </w:rPr>
    </w:lvl>
    <w:lvl w:ilvl="2" w:tplc="5A2EF224">
      <w:start w:val="164"/>
      <w:numFmt w:val="bullet"/>
      <w:lvlText w:val="-"/>
      <w:lvlJc w:val="left"/>
      <w:pPr>
        <w:tabs>
          <w:tab w:val="num" w:pos="2508"/>
        </w:tabs>
        <w:ind w:left="2508" w:hanging="360"/>
      </w:pPr>
      <w:rPr>
        <w:rFonts w:ascii="Times New Roman" w:hAnsi="Times New Roman" w:hint="default"/>
      </w:rPr>
    </w:lvl>
    <w:lvl w:ilvl="3" w:tplc="DA44E6E8" w:tentative="1">
      <w:start w:val="1"/>
      <w:numFmt w:val="bullet"/>
      <w:lvlText w:val="-"/>
      <w:lvlJc w:val="left"/>
      <w:pPr>
        <w:tabs>
          <w:tab w:val="num" w:pos="3228"/>
        </w:tabs>
        <w:ind w:left="3228" w:hanging="360"/>
      </w:pPr>
      <w:rPr>
        <w:rFonts w:ascii="Times New Roman" w:hAnsi="Times New Roman" w:hint="default"/>
      </w:rPr>
    </w:lvl>
    <w:lvl w:ilvl="4" w:tplc="EB6E7960" w:tentative="1">
      <w:start w:val="1"/>
      <w:numFmt w:val="bullet"/>
      <w:lvlText w:val="-"/>
      <w:lvlJc w:val="left"/>
      <w:pPr>
        <w:tabs>
          <w:tab w:val="num" w:pos="3948"/>
        </w:tabs>
        <w:ind w:left="3948" w:hanging="360"/>
      </w:pPr>
      <w:rPr>
        <w:rFonts w:ascii="Times New Roman" w:hAnsi="Times New Roman" w:hint="default"/>
      </w:rPr>
    </w:lvl>
    <w:lvl w:ilvl="5" w:tplc="F56010B4" w:tentative="1">
      <w:start w:val="1"/>
      <w:numFmt w:val="bullet"/>
      <w:lvlText w:val="-"/>
      <w:lvlJc w:val="left"/>
      <w:pPr>
        <w:tabs>
          <w:tab w:val="num" w:pos="4668"/>
        </w:tabs>
        <w:ind w:left="4668" w:hanging="360"/>
      </w:pPr>
      <w:rPr>
        <w:rFonts w:ascii="Times New Roman" w:hAnsi="Times New Roman" w:hint="default"/>
      </w:rPr>
    </w:lvl>
    <w:lvl w:ilvl="6" w:tplc="30E63E4E" w:tentative="1">
      <w:start w:val="1"/>
      <w:numFmt w:val="bullet"/>
      <w:lvlText w:val="-"/>
      <w:lvlJc w:val="left"/>
      <w:pPr>
        <w:tabs>
          <w:tab w:val="num" w:pos="5388"/>
        </w:tabs>
        <w:ind w:left="5388" w:hanging="360"/>
      </w:pPr>
      <w:rPr>
        <w:rFonts w:ascii="Times New Roman" w:hAnsi="Times New Roman" w:hint="default"/>
      </w:rPr>
    </w:lvl>
    <w:lvl w:ilvl="7" w:tplc="A0E8708A" w:tentative="1">
      <w:start w:val="1"/>
      <w:numFmt w:val="bullet"/>
      <w:lvlText w:val="-"/>
      <w:lvlJc w:val="left"/>
      <w:pPr>
        <w:tabs>
          <w:tab w:val="num" w:pos="6108"/>
        </w:tabs>
        <w:ind w:left="6108" w:hanging="360"/>
      </w:pPr>
      <w:rPr>
        <w:rFonts w:ascii="Times New Roman" w:hAnsi="Times New Roman" w:hint="default"/>
      </w:rPr>
    </w:lvl>
    <w:lvl w:ilvl="8" w:tplc="C556259E" w:tentative="1">
      <w:start w:val="1"/>
      <w:numFmt w:val="bullet"/>
      <w:lvlText w:val="-"/>
      <w:lvlJc w:val="left"/>
      <w:pPr>
        <w:tabs>
          <w:tab w:val="num" w:pos="6828"/>
        </w:tabs>
        <w:ind w:left="6828" w:hanging="360"/>
      </w:pPr>
      <w:rPr>
        <w:rFonts w:ascii="Times New Roman" w:hAnsi="Times New Roman" w:hint="default"/>
      </w:rPr>
    </w:lvl>
  </w:abstractNum>
  <w:abstractNum w:abstractNumId="109" w15:restartNumberingAfterBreak="0">
    <w:nsid w:val="68B07786"/>
    <w:multiLevelType w:val="hybridMultilevel"/>
    <w:tmpl w:val="55CA9C64"/>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10" w15:restartNumberingAfterBreak="0">
    <w:nsid w:val="68DC1648"/>
    <w:multiLevelType w:val="hybridMultilevel"/>
    <w:tmpl w:val="0DFE36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1" w15:restartNumberingAfterBreak="0">
    <w:nsid w:val="68E31064"/>
    <w:multiLevelType w:val="multilevel"/>
    <w:tmpl w:val="10D4E244"/>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2" w15:restartNumberingAfterBreak="0">
    <w:nsid w:val="6B2819B2"/>
    <w:multiLevelType w:val="hybridMultilevel"/>
    <w:tmpl w:val="DE2CCC44"/>
    <w:lvl w:ilvl="0" w:tplc="D5A0E0C4">
      <w:start w:val="1"/>
      <w:numFmt w:val="bullet"/>
      <w:lvlText w:val="-"/>
      <w:lvlJc w:val="left"/>
      <w:pPr>
        <w:ind w:left="720" w:hanging="360"/>
      </w:pPr>
      <w:rPr>
        <w:rFonts w:ascii="Times New Roman" w:hAnsi="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3" w15:restartNumberingAfterBreak="0">
    <w:nsid w:val="6CC16EBB"/>
    <w:multiLevelType w:val="multilevel"/>
    <w:tmpl w:val="9668A8DA"/>
    <w:lvl w:ilvl="0">
      <w:start w:val="11"/>
      <w:numFmt w:val="decimal"/>
      <w:lvlText w:val="%1."/>
      <w:lvlJc w:val="left"/>
      <w:pPr>
        <w:ind w:left="600" w:hanging="60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604" w:hanging="180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1232" w:hanging="2160"/>
      </w:pPr>
      <w:rPr>
        <w:rFonts w:hint="default"/>
      </w:rPr>
    </w:lvl>
  </w:abstractNum>
  <w:abstractNum w:abstractNumId="114" w15:restartNumberingAfterBreak="0">
    <w:nsid w:val="6CC50400"/>
    <w:multiLevelType w:val="hybridMultilevel"/>
    <w:tmpl w:val="2708DB2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15" w15:restartNumberingAfterBreak="0">
    <w:nsid w:val="6D3A25E3"/>
    <w:multiLevelType w:val="hybridMultilevel"/>
    <w:tmpl w:val="430C8726"/>
    <w:lvl w:ilvl="0" w:tplc="548850F6">
      <w:start w:val="3"/>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6E57494A"/>
    <w:multiLevelType w:val="hybridMultilevel"/>
    <w:tmpl w:val="A5AE947C"/>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17" w15:restartNumberingAfterBreak="0">
    <w:nsid w:val="6E8F354E"/>
    <w:multiLevelType w:val="hybridMultilevel"/>
    <w:tmpl w:val="3B188EB0"/>
    <w:lvl w:ilvl="0" w:tplc="040C0001">
      <w:start w:val="1"/>
      <w:numFmt w:val="bullet"/>
      <w:lvlText w:val=""/>
      <w:lvlJc w:val="left"/>
      <w:pPr>
        <w:tabs>
          <w:tab w:val="num" w:pos="720"/>
        </w:tabs>
        <w:ind w:left="720" w:hanging="360"/>
      </w:pPr>
      <w:rPr>
        <w:rFonts w:ascii="Symbol" w:hAnsi="Symbol" w:hint="default"/>
      </w:rPr>
    </w:lvl>
    <w:lvl w:ilvl="1" w:tplc="B8541AE8">
      <w:numFmt w:val="bullet"/>
      <w:lvlText w:val="-"/>
      <w:lvlJc w:val="left"/>
      <w:pPr>
        <w:tabs>
          <w:tab w:val="num" w:pos="1440"/>
        </w:tabs>
        <w:ind w:left="1440" w:hanging="360"/>
      </w:pPr>
      <w:rPr>
        <w:rFonts w:ascii="Tahoma" w:eastAsia="Times New Roman" w:hAnsi="Tahoma" w:cs="Tahoma"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07A4571"/>
    <w:multiLevelType w:val="hybridMultilevel"/>
    <w:tmpl w:val="DC8C9716"/>
    <w:lvl w:ilvl="0" w:tplc="040C0001">
      <w:start w:val="1"/>
      <w:numFmt w:val="bullet"/>
      <w:lvlText w:val=""/>
      <w:lvlJc w:val="left"/>
      <w:pPr>
        <w:tabs>
          <w:tab w:val="num" w:pos="720"/>
        </w:tabs>
        <w:ind w:left="720" w:hanging="360"/>
      </w:pPr>
      <w:rPr>
        <w:rFonts w:ascii="Symbol" w:hAnsi="Symbol" w:hint="default"/>
      </w:rPr>
    </w:lvl>
    <w:lvl w:ilvl="1" w:tplc="040C0009">
      <w:start w:val="1"/>
      <w:numFmt w:val="bullet"/>
      <w:lvlText w:val=""/>
      <w:lvlJc w:val="left"/>
      <w:pPr>
        <w:tabs>
          <w:tab w:val="num" w:pos="1440"/>
        </w:tabs>
        <w:ind w:left="1440" w:hanging="360"/>
      </w:pPr>
      <w:rPr>
        <w:rFonts w:ascii="Wingdings"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2E16FA0"/>
    <w:multiLevelType w:val="hybridMultilevel"/>
    <w:tmpl w:val="3F004C1A"/>
    <w:lvl w:ilvl="0" w:tplc="080C000F">
      <w:start w:val="1"/>
      <w:numFmt w:val="decimal"/>
      <w:lvlText w:val="%1."/>
      <w:lvlJc w:val="left"/>
      <w:pPr>
        <w:ind w:left="720" w:hanging="360"/>
      </w:pPr>
      <w:rPr>
        <w:rFonts w:cs="Times New Roman" w:hint="default"/>
      </w:rPr>
    </w:lvl>
    <w:lvl w:ilvl="1" w:tplc="080C0019" w:tentative="1">
      <w:start w:val="1"/>
      <w:numFmt w:val="lowerLetter"/>
      <w:lvlText w:val="%2."/>
      <w:lvlJc w:val="left"/>
      <w:pPr>
        <w:ind w:left="1440" w:hanging="360"/>
      </w:pPr>
      <w:rPr>
        <w:rFonts w:cs="Times New Roman"/>
      </w:rPr>
    </w:lvl>
    <w:lvl w:ilvl="2" w:tplc="080C001B" w:tentative="1">
      <w:start w:val="1"/>
      <w:numFmt w:val="lowerRoman"/>
      <w:lvlText w:val="%3."/>
      <w:lvlJc w:val="right"/>
      <w:pPr>
        <w:ind w:left="2160" w:hanging="180"/>
      </w:pPr>
      <w:rPr>
        <w:rFonts w:cs="Times New Roman"/>
      </w:rPr>
    </w:lvl>
    <w:lvl w:ilvl="3" w:tplc="080C000F" w:tentative="1">
      <w:start w:val="1"/>
      <w:numFmt w:val="decimal"/>
      <w:lvlText w:val="%4."/>
      <w:lvlJc w:val="left"/>
      <w:pPr>
        <w:ind w:left="2880" w:hanging="360"/>
      </w:pPr>
      <w:rPr>
        <w:rFonts w:cs="Times New Roman"/>
      </w:rPr>
    </w:lvl>
    <w:lvl w:ilvl="4" w:tplc="080C0019" w:tentative="1">
      <w:start w:val="1"/>
      <w:numFmt w:val="lowerLetter"/>
      <w:lvlText w:val="%5."/>
      <w:lvlJc w:val="left"/>
      <w:pPr>
        <w:ind w:left="3600" w:hanging="360"/>
      </w:pPr>
      <w:rPr>
        <w:rFonts w:cs="Times New Roman"/>
      </w:rPr>
    </w:lvl>
    <w:lvl w:ilvl="5" w:tplc="080C001B" w:tentative="1">
      <w:start w:val="1"/>
      <w:numFmt w:val="lowerRoman"/>
      <w:lvlText w:val="%6."/>
      <w:lvlJc w:val="right"/>
      <w:pPr>
        <w:ind w:left="4320" w:hanging="180"/>
      </w:pPr>
      <w:rPr>
        <w:rFonts w:cs="Times New Roman"/>
      </w:rPr>
    </w:lvl>
    <w:lvl w:ilvl="6" w:tplc="080C000F" w:tentative="1">
      <w:start w:val="1"/>
      <w:numFmt w:val="decimal"/>
      <w:lvlText w:val="%7."/>
      <w:lvlJc w:val="left"/>
      <w:pPr>
        <w:ind w:left="5040" w:hanging="360"/>
      </w:pPr>
      <w:rPr>
        <w:rFonts w:cs="Times New Roman"/>
      </w:rPr>
    </w:lvl>
    <w:lvl w:ilvl="7" w:tplc="080C0019" w:tentative="1">
      <w:start w:val="1"/>
      <w:numFmt w:val="lowerLetter"/>
      <w:lvlText w:val="%8."/>
      <w:lvlJc w:val="left"/>
      <w:pPr>
        <w:ind w:left="5760" w:hanging="360"/>
      </w:pPr>
      <w:rPr>
        <w:rFonts w:cs="Times New Roman"/>
      </w:rPr>
    </w:lvl>
    <w:lvl w:ilvl="8" w:tplc="080C001B" w:tentative="1">
      <w:start w:val="1"/>
      <w:numFmt w:val="lowerRoman"/>
      <w:lvlText w:val="%9."/>
      <w:lvlJc w:val="right"/>
      <w:pPr>
        <w:ind w:left="6480" w:hanging="180"/>
      </w:pPr>
      <w:rPr>
        <w:rFonts w:cs="Times New Roman"/>
      </w:rPr>
    </w:lvl>
  </w:abstractNum>
  <w:abstractNum w:abstractNumId="120" w15:restartNumberingAfterBreak="0">
    <w:nsid w:val="730A12A7"/>
    <w:multiLevelType w:val="multilevel"/>
    <w:tmpl w:val="73B8DE90"/>
    <w:lvl w:ilvl="0">
      <w:start w:val="10"/>
      <w:numFmt w:val="decimal"/>
      <w:lvlText w:val="%1."/>
      <w:lvlJc w:val="left"/>
      <w:pPr>
        <w:ind w:left="600" w:hanging="600"/>
      </w:pPr>
      <w:rPr>
        <w:rFonts w:hint="default"/>
      </w:rPr>
    </w:lvl>
    <w:lvl w:ilvl="1">
      <w:start w:val="1"/>
      <w:numFmt w:val="decimal"/>
      <w:lvlText w:val="%1.%2."/>
      <w:lvlJc w:val="left"/>
      <w:pPr>
        <w:ind w:left="2139" w:hanging="720"/>
      </w:pPr>
      <w:rPr>
        <w:rFonts w:hint="default"/>
      </w:rPr>
    </w:lvl>
    <w:lvl w:ilvl="2">
      <w:start w:val="1"/>
      <w:numFmt w:val="bullet"/>
      <w:lvlText w:val="-"/>
      <w:lvlJc w:val="left"/>
      <w:pPr>
        <w:ind w:left="3558" w:hanging="720"/>
      </w:pPr>
      <w:rPr>
        <w:rFonts w:ascii="Times New Roman" w:hAnsi="Times New Roman" w:hint="default"/>
      </w:rPr>
    </w:lvl>
    <w:lvl w:ilvl="3">
      <w:start w:val="1"/>
      <w:numFmt w:val="decimal"/>
      <w:lvlText w:val="%1.%2.%3.%4."/>
      <w:lvlJc w:val="left"/>
      <w:pPr>
        <w:ind w:left="5337" w:hanging="1080"/>
      </w:pPr>
      <w:rPr>
        <w:rFonts w:hint="default"/>
        <w:sz w:val="24"/>
        <w:szCs w:val="24"/>
      </w:rPr>
    </w:lvl>
    <w:lvl w:ilvl="4">
      <w:start w:val="1"/>
      <w:numFmt w:val="decimal"/>
      <w:lvlText w:val="%1.%2.%3.%4.%5."/>
      <w:lvlJc w:val="left"/>
      <w:pPr>
        <w:ind w:left="6756" w:hanging="1080"/>
      </w:pPr>
      <w:rPr>
        <w:rFonts w:hint="default"/>
      </w:rPr>
    </w:lvl>
    <w:lvl w:ilvl="5">
      <w:start w:val="1"/>
      <w:numFmt w:val="decimal"/>
      <w:lvlText w:val="%1.%2.%3.%4.%5.%6."/>
      <w:lvlJc w:val="left"/>
      <w:pPr>
        <w:ind w:left="8535" w:hanging="1440"/>
      </w:pPr>
      <w:rPr>
        <w:rFonts w:hint="default"/>
      </w:rPr>
    </w:lvl>
    <w:lvl w:ilvl="6">
      <w:start w:val="1"/>
      <w:numFmt w:val="decimal"/>
      <w:lvlText w:val="%1.%2.%3.%4.%5.%6.%7."/>
      <w:lvlJc w:val="left"/>
      <w:pPr>
        <w:ind w:left="10314" w:hanging="1800"/>
      </w:pPr>
      <w:rPr>
        <w:rFonts w:hint="default"/>
      </w:rPr>
    </w:lvl>
    <w:lvl w:ilvl="7">
      <w:start w:val="1"/>
      <w:numFmt w:val="decimal"/>
      <w:lvlText w:val="%1.%2.%3.%4.%5.%6.%7.%8."/>
      <w:lvlJc w:val="left"/>
      <w:pPr>
        <w:ind w:left="11733" w:hanging="1800"/>
      </w:pPr>
      <w:rPr>
        <w:rFonts w:hint="default"/>
      </w:rPr>
    </w:lvl>
    <w:lvl w:ilvl="8">
      <w:start w:val="1"/>
      <w:numFmt w:val="decimal"/>
      <w:lvlText w:val="%1.%2.%3.%4.%5.%6.%7.%8.%9."/>
      <w:lvlJc w:val="left"/>
      <w:pPr>
        <w:ind w:left="13512" w:hanging="2160"/>
      </w:pPr>
      <w:rPr>
        <w:rFonts w:hint="default"/>
      </w:rPr>
    </w:lvl>
  </w:abstractNum>
  <w:abstractNum w:abstractNumId="121" w15:restartNumberingAfterBreak="0">
    <w:nsid w:val="742C1C87"/>
    <w:multiLevelType w:val="hybridMultilevel"/>
    <w:tmpl w:val="3F0878B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2" w15:restartNumberingAfterBreak="0">
    <w:nsid w:val="770A0697"/>
    <w:multiLevelType w:val="hybridMultilevel"/>
    <w:tmpl w:val="EC565056"/>
    <w:lvl w:ilvl="0" w:tplc="A1A6E8BA">
      <w:start w:val="1"/>
      <w:numFmt w:val="decimal"/>
      <w:lvlText w:val="%1."/>
      <w:lvlJc w:val="left"/>
      <w:pPr>
        <w:tabs>
          <w:tab w:val="num" w:pos="720"/>
        </w:tabs>
        <w:ind w:left="720" w:hanging="360"/>
      </w:pPr>
      <w:rPr>
        <w:rFonts w:ascii="Times New Roman" w:eastAsia="Times New Roman" w:hAnsi="Times New Roman" w:cs="Times New Roman"/>
      </w:rPr>
    </w:lvl>
    <w:lvl w:ilvl="1" w:tplc="D5A0E0C4">
      <w:start w:val="1"/>
      <w:numFmt w:val="bullet"/>
      <w:lvlText w:val="-"/>
      <w:lvlJc w:val="left"/>
      <w:pPr>
        <w:tabs>
          <w:tab w:val="num" w:pos="1440"/>
        </w:tabs>
        <w:ind w:left="1440" w:hanging="360"/>
      </w:pPr>
      <w:rPr>
        <w:rFonts w:ascii="Times New Roman" w:hAnsi="Times New Roman" w:hint="default"/>
      </w:rPr>
    </w:lvl>
    <w:lvl w:ilvl="2" w:tplc="4E4E92EC">
      <w:start w:val="164"/>
      <w:numFmt w:val="bullet"/>
      <w:lvlText w:val="-"/>
      <w:lvlJc w:val="left"/>
      <w:pPr>
        <w:tabs>
          <w:tab w:val="num" w:pos="2160"/>
        </w:tabs>
        <w:ind w:left="2160" w:hanging="360"/>
      </w:pPr>
      <w:rPr>
        <w:rFonts w:ascii="Times New Roman" w:hAnsi="Times New Roman" w:hint="default"/>
      </w:rPr>
    </w:lvl>
    <w:lvl w:ilvl="3" w:tplc="F4700DEC">
      <w:start w:val="1"/>
      <w:numFmt w:val="bullet"/>
      <w:lvlText w:val="-"/>
      <w:lvlJc w:val="left"/>
      <w:pPr>
        <w:tabs>
          <w:tab w:val="num" w:pos="2880"/>
        </w:tabs>
        <w:ind w:left="2880" w:hanging="360"/>
      </w:pPr>
      <w:rPr>
        <w:rFonts w:ascii="Times New Roman" w:hAnsi="Times New Roman" w:hint="default"/>
      </w:rPr>
    </w:lvl>
    <w:lvl w:ilvl="4" w:tplc="803624B0" w:tentative="1">
      <w:start w:val="1"/>
      <w:numFmt w:val="bullet"/>
      <w:lvlText w:val="-"/>
      <w:lvlJc w:val="left"/>
      <w:pPr>
        <w:tabs>
          <w:tab w:val="num" w:pos="3600"/>
        </w:tabs>
        <w:ind w:left="3600" w:hanging="360"/>
      </w:pPr>
      <w:rPr>
        <w:rFonts w:ascii="Times New Roman" w:hAnsi="Times New Roman" w:hint="default"/>
      </w:rPr>
    </w:lvl>
    <w:lvl w:ilvl="5" w:tplc="BE147574" w:tentative="1">
      <w:start w:val="1"/>
      <w:numFmt w:val="bullet"/>
      <w:lvlText w:val="-"/>
      <w:lvlJc w:val="left"/>
      <w:pPr>
        <w:tabs>
          <w:tab w:val="num" w:pos="4320"/>
        </w:tabs>
        <w:ind w:left="4320" w:hanging="360"/>
      </w:pPr>
      <w:rPr>
        <w:rFonts w:ascii="Times New Roman" w:hAnsi="Times New Roman" w:hint="default"/>
      </w:rPr>
    </w:lvl>
    <w:lvl w:ilvl="6" w:tplc="496E7A76" w:tentative="1">
      <w:start w:val="1"/>
      <w:numFmt w:val="bullet"/>
      <w:lvlText w:val="-"/>
      <w:lvlJc w:val="left"/>
      <w:pPr>
        <w:tabs>
          <w:tab w:val="num" w:pos="5040"/>
        </w:tabs>
        <w:ind w:left="5040" w:hanging="360"/>
      </w:pPr>
      <w:rPr>
        <w:rFonts w:ascii="Times New Roman" w:hAnsi="Times New Roman" w:hint="default"/>
      </w:rPr>
    </w:lvl>
    <w:lvl w:ilvl="7" w:tplc="A2F298D8" w:tentative="1">
      <w:start w:val="1"/>
      <w:numFmt w:val="bullet"/>
      <w:lvlText w:val="-"/>
      <w:lvlJc w:val="left"/>
      <w:pPr>
        <w:tabs>
          <w:tab w:val="num" w:pos="5760"/>
        </w:tabs>
        <w:ind w:left="5760" w:hanging="360"/>
      </w:pPr>
      <w:rPr>
        <w:rFonts w:ascii="Times New Roman" w:hAnsi="Times New Roman" w:hint="default"/>
      </w:rPr>
    </w:lvl>
    <w:lvl w:ilvl="8" w:tplc="1FAC5A68" w:tentative="1">
      <w:start w:val="1"/>
      <w:numFmt w:val="bullet"/>
      <w:lvlText w:val="-"/>
      <w:lvlJc w:val="left"/>
      <w:pPr>
        <w:tabs>
          <w:tab w:val="num" w:pos="6480"/>
        </w:tabs>
        <w:ind w:left="6480" w:hanging="360"/>
      </w:pPr>
      <w:rPr>
        <w:rFonts w:ascii="Times New Roman" w:hAnsi="Times New Roman" w:hint="default"/>
      </w:rPr>
    </w:lvl>
  </w:abstractNum>
  <w:abstractNum w:abstractNumId="123" w15:restartNumberingAfterBreak="0">
    <w:nsid w:val="772344FE"/>
    <w:multiLevelType w:val="hybridMultilevel"/>
    <w:tmpl w:val="2486A65E"/>
    <w:lvl w:ilvl="0" w:tplc="FA7E5FAE">
      <w:numFmt w:val="bullet"/>
      <w:lvlText w:val="-"/>
      <w:lvlJc w:val="left"/>
      <w:pPr>
        <w:tabs>
          <w:tab w:val="num" w:pos="720"/>
        </w:tabs>
        <w:ind w:left="720" w:hanging="360"/>
      </w:pPr>
      <w:rPr>
        <w:rFonts w:ascii="Georgia" w:eastAsia="ITC Zapf Chancery" w:hAnsi="Georgia" w:cs="ITC Zapf Chancery"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7AB282A"/>
    <w:multiLevelType w:val="hybridMultilevel"/>
    <w:tmpl w:val="E4BA4CAA"/>
    <w:lvl w:ilvl="0" w:tplc="040C0011">
      <w:start w:val="1"/>
      <w:numFmt w:val="decimal"/>
      <w:lvlText w:val="%1)"/>
      <w:lvlJc w:val="left"/>
      <w:pPr>
        <w:tabs>
          <w:tab w:val="num" w:pos="720"/>
        </w:tabs>
        <w:ind w:left="720" w:hanging="360"/>
      </w:pPr>
      <w:rPr>
        <w:rFonts w:hint="default"/>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25" w15:restartNumberingAfterBreak="0">
    <w:nsid w:val="79AB7826"/>
    <w:multiLevelType w:val="hybridMultilevel"/>
    <w:tmpl w:val="1B722AA2"/>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6" w15:restartNumberingAfterBreak="0">
    <w:nsid w:val="79BC74AF"/>
    <w:multiLevelType w:val="hybridMultilevel"/>
    <w:tmpl w:val="5DBEC454"/>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7" w15:restartNumberingAfterBreak="0">
    <w:nsid w:val="7A59071B"/>
    <w:multiLevelType w:val="hybridMultilevel"/>
    <w:tmpl w:val="69C4E250"/>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8" w15:restartNumberingAfterBreak="0">
    <w:nsid w:val="7B3D3666"/>
    <w:multiLevelType w:val="hybridMultilevel"/>
    <w:tmpl w:val="6AA83E84"/>
    <w:lvl w:ilvl="0" w:tplc="080C0001">
      <w:start w:val="1"/>
      <w:numFmt w:val="bullet"/>
      <w:lvlText w:val=""/>
      <w:lvlJc w:val="left"/>
      <w:pPr>
        <w:tabs>
          <w:tab w:val="num" w:pos="720"/>
        </w:tabs>
        <w:ind w:left="720" w:hanging="360"/>
      </w:pPr>
      <w:rPr>
        <w:rFonts w:ascii="Symbol" w:hAnsi="Symbol" w:hint="default"/>
      </w:rPr>
    </w:lvl>
    <w:lvl w:ilvl="1" w:tplc="F1784244">
      <w:numFmt w:val="bullet"/>
      <w:lvlText w:val="-"/>
      <w:lvlJc w:val="left"/>
      <w:pPr>
        <w:tabs>
          <w:tab w:val="num" w:pos="1440"/>
        </w:tabs>
        <w:ind w:left="1440" w:hanging="360"/>
      </w:pPr>
      <w:rPr>
        <w:rFonts w:ascii="Times New Roman" w:eastAsia="Times New Roman" w:hAnsi="Times New Roman" w:cs="Times New Roman"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7CA64FE6"/>
    <w:multiLevelType w:val="hybridMultilevel"/>
    <w:tmpl w:val="C3C882E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0" w15:restartNumberingAfterBreak="0">
    <w:nsid w:val="7D5627B9"/>
    <w:multiLevelType w:val="hybridMultilevel"/>
    <w:tmpl w:val="55CA9C64"/>
    <w:lvl w:ilvl="0" w:tplc="6562B88A">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31" w15:restartNumberingAfterBreak="0">
    <w:nsid w:val="7DF97AAC"/>
    <w:multiLevelType w:val="hybridMultilevel"/>
    <w:tmpl w:val="CCAA16F2"/>
    <w:lvl w:ilvl="0" w:tplc="FA7E5FAE">
      <w:numFmt w:val="bullet"/>
      <w:lvlText w:val="-"/>
      <w:lvlJc w:val="left"/>
      <w:pPr>
        <w:tabs>
          <w:tab w:val="num" w:pos="720"/>
        </w:tabs>
        <w:ind w:left="720" w:hanging="360"/>
      </w:pPr>
      <w:rPr>
        <w:rFonts w:ascii="Georgia" w:eastAsia="ITC Zapf Chancery" w:hAnsi="Georgia" w:cs="ITC Zapf Chancery"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7E500EC3"/>
    <w:multiLevelType w:val="hybridMultilevel"/>
    <w:tmpl w:val="031802CE"/>
    <w:lvl w:ilvl="0" w:tplc="080C0001">
      <w:start w:val="1"/>
      <w:numFmt w:val="bullet"/>
      <w:lvlText w:val=""/>
      <w:lvlJc w:val="left"/>
      <w:pPr>
        <w:tabs>
          <w:tab w:val="num" w:pos="720"/>
        </w:tabs>
        <w:ind w:left="720" w:hanging="360"/>
      </w:pPr>
      <w:rPr>
        <w:rFonts w:ascii="Symbol" w:hAnsi="Symbol" w:hint="default"/>
      </w:rPr>
    </w:lvl>
    <w:lvl w:ilvl="1" w:tplc="9DF2F21C">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7F2E59C5"/>
    <w:multiLevelType w:val="hybridMultilevel"/>
    <w:tmpl w:val="32F8C64A"/>
    <w:lvl w:ilvl="0" w:tplc="08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F5F2403"/>
    <w:multiLevelType w:val="hybridMultilevel"/>
    <w:tmpl w:val="BA8E81D4"/>
    <w:lvl w:ilvl="0" w:tplc="080C0011">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num w:numId="1">
    <w:abstractNumId w:val="13"/>
  </w:num>
  <w:num w:numId="2">
    <w:abstractNumId w:val="42"/>
  </w:num>
  <w:num w:numId="3">
    <w:abstractNumId w:val="124"/>
  </w:num>
  <w:num w:numId="4">
    <w:abstractNumId w:val="58"/>
  </w:num>
  <w:num w:numId="5">
    <w:abstractNumId w:val="103"/>
  </w:num>
  <w:num w:numId="6">
    <w:abstractNumId w:val="66"/>
  </w:num>
  <w:num w:numId="7">
    <w:abstractNumId w:val="78"/>
  </w:num>
  <w:num w:numId="8">
    <w:abstractNumId w:val="83"/>
  </w:num>
  <w:num w:numId="9">
    <w:abstractNumId w:val="97"/>
  </w:num>
  <w:num w:numId="10">
    <w:abstractNumId w:val="123"/>
  </w:num>
  <w:num w:numId="11">
    <w:abstractNumId w:val="131"/>
  </w:num>
  <w:num w:numId="12">
    <w:abstractNumId w:val="119"/>
  </w:num>
  <w:num w:numId="13">
    <w:abstractNumId w:val="29"/>
  </w:num>
  <w:num w:numId="14">
    <w:abstractNumId w:val="81"/>
  </w:num>
  <w:num w:numId="15">
    <w:abstractNumId w:val="25"/>
  </w:num>
  <w:num w:numId="16">
    <w:abstractNumId w:val="94"/>
  </w:num>
  <w:num w:numId="17">
    <w:abstractNumId w:val="9"/>
  </w:num>
  <w:num w:numId="18">
    <w:abstractNumId w:val="11"/>
  </w:num>
  <w:num w:numId="19">
    <w:abstractNumId w:val="68"/>
  </w:num>
  <w:num w:numId="20">
    <w:abstractNumId w:val="44"/>
  </w:num>
  <w:num w:numId="21">
    <w:abstractNumId w:val="40"/>
  </w:num>
  <w:num w:numId="22">
    <w:abstractNumId w:val="34"/>
  </w:num>
  <w:num w:numId="23">
    <w:abstractNumId w:val="50"/>
  </w:num>
  <w:num w:numId="24">
    <w:abstractNumId w:val="110"/>
  </w:num>
  <w:num w:numId="25">
    <w:abstractNumId w:val="3"/>
  </w:num>
  <w:num w:numId="26">
    <w:abstractNumId w:val="88"/>
  </w:num>
  <w:num w:numId="27">
    <w:abstractNumId w:val="49"/>
  </w:num>
  <w:num w:numId="28">
    <w:abstractNumId w:val="133"/>
  </w:num>
  <w:num w:numId="29">
    <w:abstractNumId w:val="6"/>
  </w:num>
  <w:num w:numId="30">
    <w:abstractNumId w:val="53"/>
  </w:num>
  <w:num w:numId="31">
    <w:abstractNumId w:val="51"/>
  </w:num>
  <w:num w:numId="32">
    <w:abstractNumId w:val="70"/>
  </w:num>
  <w:num w:numId="33">
    <w:abstractNumId w:val="118"/>
  </w:num>
  <w:num w:numId="34">
    <w:abstractNumId w:val="26"/>
  </w:num>
  <w:num w:numId="35">
    <w:abstractNumId w:val="38"/>
  </w:num>
  <w:num w:numId="36">
    <w:abstractNumId w:val="24"/>
  </w:num>
  <w:num w:numId="37">
    <w:abstractNumId w:val="57"/>
  </w:num>
  <w:num w:numId="38">
    <w:abstractNumId w:val="105"/>
  </w:num>
  <w:num w:numId="39">
    <w:abstractNumId w:val="28"/>
  </w:num>
  <w:num w:numId="40">
    <w:abstractNumId w:val="36"/>
  </w:num>
  <w:num w:numId="41">
    <w:abstractNumId w:val="59"/>
  </w:num>
  <w:num w:numId="42">
    <w:abstractNumId w:val="132"/>
  </w:num>
  <w:num w:numId="43">
    <w:abstractNumId w:val="126"/>
  </w:num>
  <w:num w:numId="44">
    <w:abstractNumId w:val="21"/>
  </w:num>
  <w:num w:numId="45">
    <w:abstractNumId w:val="128"/>
  </w:num>
  <w:num w:numId="46">
    <w:abstractNumId w:val="91"/>
  </w:num>
  <w:num w:numId="47">
    <w:abstractNumId w:val="76"/>
  </w:num>
  <w:num w:numId="48">
    <w:abstractNumId w:val="60"/>
  </w:num>
  <w:num w:numId="49">
    <w:abstractNumId w:val="102"/>
  </w:num>
  <w:num w:numId="50">
    <w:abstractNumId w:val="98"/>
  </w:num>
  <w:num w:numId="51">
    <w:abstractNumId w:val="55"/>
  </w:num>
  <w:num w:numId="52">
    <w:abstractNumId w:val="7"/>
  </w:num>
  <w:num w:numId="53">
    <w:abstractNumId w:val="67"/>
  </w:num>
  <w:num w:numId="54">
    <w:abstractNumId w:val="64"/>
  </w:num>
  <w:num w:numId="55">
    <w:abstractNumId w:val="89"/>
  </w:num>
  <w:num w:numId="56">
    <w:abstractNumId w:val="30"/>
  </w:num>
  <w:num w:numId="57">
    <w:abstractNumId w:val="113"/>
  </w:num>
  <w:num w:numId="58">
    <w:abstractNumId w:val="73"/>
  </w:num>
  <w:num w:numId="59">
    <w:abstractNumId w:val="100"/>
  </w:num>
  <w:num w:numId="60">
    <w:abstractNumId w:val="17"/>
  </w:num>
  <w:num w:numId="61">
    <w:abstractNumId w:val="56"/>
  </w:num>
  <w:num w:numId="62">
    <w:abstractNumId w:val="48"/>
  </w:num>
  <w:num w:numId="63">
    <w:abstractNumId w:val="90"/>
  </w:num>
  <w:num w:numId="64">
    <w:abstractNumId w:val="10"/>
  </w:num>
  <w:num w:numId="65">
    <w:abstractNumId w:val="130"/>
  </w:num>
  <w:num w:numId="66">
    <w:abstractNumId w:val="87"/>
  </w:num>
  <w:num w:numId="67">
    <w:abstractNumId w:val="80"/>
  </w:num>
  <w:num w:numId="68">
    <w:abstractNumId w:val="27"/>
  </w:num>
  <w:num w:numId="69">
    <w:abstractNumId w:val="5"/>
  </w:num>
  <w:num w:numId="70">
    <w:abstractNumId w:val="125"/>
  </w:num>
  <w:num w:numId="71">
    <w:abstractNumId w:val="116"/>
  </w:num>
  <w:num w:numId="72">
    <w:abstractNumId w:val="127"/>
  </w:num>
  <w:num w:numId="73">
    <w:abstractNumId w:val="95"/>
  </w:num>
  <w:num w:numId="74">
    <w:abstractNumId w:val="22"/>
  </w:num>
  <w:num w:numId="75">
    <w:abstractNumId w:val="96"/>
  </w:num>
  <w:num w:numId="76">
    <w:abstractNumId w:val="23"/>
  </w:num>
  <w:num w:numId="77">
    <w:abstractNumId w:val="12"/>
  </w:num>
  <w:num w:numId="78">
    <w:abstractNumId w:val="65"/>
  </w:num>
  <w:num w:numId="79">
    <w:abstractNumId w:val="35"/>
  </w:num>
  <w:num w:numId="80">
    <w:abstractNumId w:val="61"/>
  </w:num>
  <w:num w:numId="81">
    <w:abstractNumId w:val="134"/>
  </w:num>
  <w:num w:numId="82">
    <w:abstractNumId w:val="46"/>
  </w:num>
  <w:num w:numId="83">
    <w:abstractNumId w:val="93"/>
  </w:num>
  <w:num w:numId="84">
    <w:abstractNumId w:val="115"/>
  </w:num>
  <w:num w:numId="85">
    <w:abstractNumId w:val="0"/>
  </w:num>
  <w:num w:numId="86">
    <w:abstractNumId w:val="75"/>
  </w:num>
  <w:num w:numId="87">
    <w:abstractNumId w:val="107"/>
  </w:num>
  <w:num w:numId="88">
    <w:abstractNumId w:val="16"/>
  </w:num>
  <w:num w:numId="89">
    <w:abstractNumId w:val="15"/>
  </w:num>
  <w:num w:numId="90">
    <w:abstractNumId w:val="111"/>
  </w:num>
  <w:num w:numId="91">
    <w:abstractNumId w:val="104"/>
  </w:num>
  <w:num w:numId="92">
    <w:abstractNumId w:val="72"/>
  </w:num>
  <w:num w:numId="93">
    <w:abstractNumId w:val="39"/>
  </w:num>
  <w:num w:numId="94">
    <w:abstractNumId w:val="85"/>
  </w:num>
  <w:num w:numId="95">
    <w:abstractNumId w:val="8"/>
  </w:num>
  <w:num w:numId="96">
    <w:abstractNumId w:val="79"/>
  </w:num>
  <w:num w:numId="97">
    <w:abstractNumId w:val="114"/>
  </w:num>
  <w:num w:numId="98">
    <w:abstractNumId w:val="129"/>
  </w:num>
  <w:num w:numId="99">
    <w:abstractNumId w:val="14"/>
  </w:num>
  <w:num w:numId="100">
    <w:abstractNumId w:val="1"/>
  </w:num>
  <w:num w:numId="101">
    <w:abstractNumId w:val="20"/>
  </w:num>
  <w:num w:numId="102">
    <w:abstractNumId w:val="31"/>
  </w:num>
  <w:num w:numId="103">
    <w:abstractNumId w:val="101"/>
  </w:num>
  <w:num w:numId="104">
    <w:abstractNumId w:val="62"/>
  </w:num>
  <w:num w:numId="105">
    <w:abstractNumId w:val="74"/>
  </w:num>
  <w:num w:numId="106">
    <w:abstractNumId w:val="18"/>
  </w:num>
  <w:num w:numId="107">
    <w:abstractNumId w:val="63"/>
  </w:num>
  <w:num w:numId="108">
    <w:abstractNumId w:val="43"/>
  </w:num>
  <w:num w:numId="109">
    <w:abstractNumId w:val="69"/>
  </w:num>
  <w:num w:numId="110">
    <w:abstractNumId w:val="84"/>
  </w:num>
  <w:num w:numId="111">
    <w:abstractNumId w:val="92"/>
  </w:num>
  <w:num w:numId="112">
    <w:abstractNumId w:val="122"/>
  </w:num>
  <w:num w:numId="113">
    <w:abstractNumId w:val="4"/>
  </w:num>
  <w:num w:numId="114">
    <w:abstractNumId w:val="2"/>
  </w:num>
  <w:num w:numId="115">
    <w:abstractNumId w:val="33"/>
  </w:num>
  <w:num w:numId="116">
    <w:abstractNumId w:val="108"/>
  </w:num>
  <w:num w:numId="117">
    <w:abstractNumId w:val="52"/>
  </w:num>
  <w:num w:numId="118">
    <w:abstractNumId w:val="112"/>
  </w:num>
  <w:num w:numId="119">
    <w:abstractNumId w:val="120"/>
  </w:num>
  <w:num w:numId="120">
    <w:abstractNumId w:val="54"/>
  </w:num>
  <w:num w:numId="121">
    <w:abstractNumId w:val="117"/>
  </w:num>
  <w:num w:numId="122">
    <w:abstractNumId w:val="71"/>
  </w:num>
  <w:num w:numId="123">
    <w:abstractNumId w:val="41"/>
  </w:num>
  <w:num w:numId="124">
    <w:abstractNumId w:val="86"/>
  </w:num>
  <w:num w:numId="125">
    <w:abstractNumId w:val="82"/>
  </w:num>
  <w:num w:numId="126">
    <w:abstractNumId w:val="37"/>
  </w:num>
  <w:num w:numId="127">
    <w:abstractNumId w:val="109"/>
  </w:num>
  <w:num w:numId="128">
    <w:abstractNumId w:val="77"/>
  </w:num>
  <w:num w:numId="129">
    <w:abstractNumId w:val="99"/>
  </w:num>
  <w:num w:numId="130">
    <w:abstractNumId w:val="19"/>
  </w:num>
  <w:num w:numId="131">
    <w:abstractNumId w:val="121"/>
  </w:num>
  <w:num w:numId="132">
    <w:abstractNumId w:val="106"/>
  </w:num>
  <w:num w:numId="133">
    <w:abstractNumId w:val="45"/>
  </w:num>
  <w:num w:numId="134">
    <w:abstractNumId w:val="32"/>
  </w:num>
  <w:num w:numId="135">
    <w:abstractNumId w:val="47"/>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5"/>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709"/>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81"/>
    <o:shapelayout v:ext="edit">
      <o:idmap v:ext="edit" data="1"/>
    </o:shapelayout>
  </w:shapeDefaults>
  <w:decimalSymbol w:val=","/>
  <w:listSeparator w:val=";"/>
  <w15:docId w15:val="{09C5EE9D-964B-4CBE-A2C6-41466B62B7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BE" w:eastAsia="fr-B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eastAsia="fr-FR"/>
    </w:rPr>
  </w:style>
  <w:style w:type="paragraph" w:styleId="Titre1">
    <w:name w:val="heading 1"/>
    <w:basedOn w:val="Normal"/>
    <w:next w:val="Normal"/>
    <w:qFormat/>
    <w:pPr>
      <w:keepNext/>
      <w:spacing w:before="240" w:after="60"/>
      <w:outlineLvl w:val="0"/>
    </w:pPr>
    <w:rPr>
      <w:rFonts w:cs="Arial"/>
      <w:b/>
      <w:bCs/>
      <w:color w:val="000000"/>
      <w:kern w:val="32"/>
      <w:sz w:val="32"/>
      <w:szCs w:val="32"/>
      <w:lang w:val="fr-FR"/>
    </w:rPr>
  </w:style>
  <w:style w:type="paragraph" w:styleId="Titre2">
    <w:name w:val="heading 2"/>
    <w:basedOn w:val="Normal"/>
    <w:next w:val="Normal"/>
    <w:qFormat/>
    <w:pPr>
      <w:keepNext/>
      <w:spacing w:before="240" w:after="60"/>
      <w:outlineLvl w:val="1"/>
    </w:pPr>
    <w:rPr>
      <w:rFonts w:ascii="Century Schoolbook" w:hAnsi="Century Schoolbook" w:cs="Arial"/>
      <w:b/>
      <w:bCs/>
      <w:i/>
      <w:iCs/>
      <w:color w:val="99CCFF"/>
      <w:sz w:val="28"/>
      <w:szCs w:val="28"/>
      <w:lang w:val="fr-FR"/>
    </w:rPr>
  </w:style>
  <w:style w:type="paragraph" w:styleId="Titre3">
    <w:name w:val="heading 3"/>
    <w:basedOn w:val="Normal"/>
    <w:next w:val="Normal"/>
    <w:qFormat/>
    <w:pPr>
      <w:keepNext/>
      <w:spacing w:before="240" w:after="60"/>
      <w:outlineLvl w:val="2"/>
    </w:pPr>
    <w:rPr>
      <w:rFonts w:ascii="Century Schoolbook" w:hAnsi="Century Schoolbook" w:cs="Arial"/>
      <w:bCs/>
      <w:i/>
      <w:color w:val="99CCFF"/>
      <w:szCs w:val="26"/>
      <w:lang w:val="fr-FR"/>
    </w:rPr>
  </w:style>
  <w:style w:type="paragraph" w:styleId="Titre4">
    <w:name w:val="heading 4"/>
    <w:basedOn w:val="Normal"/>
    <w:next w:val="Normal"/>
    <w:qFormat/>
    <w:pPr>
      <w:keepNext/>
      <w:tabs>
        <w:tab w:val="left" w:pos="284"/>
        <w:tab w:val="left" w:pos="851"/>
        <w:tab w:val="left" w:pos="1418"/>
      </w:tabs>
      <w:spacing w:line="240" w:lineRule="exact"/>
      <w:jc w:val="center"/>
      <w:outlineLvl w:val="3"/>
    </w:pPr>
    <w:rPr>
      <w:rFonts w:ascii="Bookman Old Style" w:hAnsi="Bookman Old Style"/>
      <w:i/>
      <w:color w:val="000000"/>
      <w:szCs w:val="20"/>
    </w:rPr>
  </w:style>
  <w:style w:type="paragraph" w:styleId="Titre5">
    <w:name w:val="heading 5"/>
    <w:basedOn w:val="Normal"/>
    <w:next w:val="Normal"/>
    <w:qFormat/>
    <w:pPr>
      <w:keepNext/>
      <w:outlineLvl w:val="4"/>
    </w:pPr>
    <w:rPr>
      <w:rFonts w:ascii="Century Schoolbook" w:hAnsi="Century Schoolbook"/>
      <w:b/>
      <w:sz w:val="22"/>
      <w:szCs w:val="20"/>
    </w:rPr>
  </w:style>
  <w:style w:type="paragraph" w:styleId="Titre6">
    <w:name w:val="heading 6"/>
    <w:basedOn w:val="Normal"/>
    <w:next w:val="Normal"/>
    <w:qFormat/>
    <w:pPr>
      <w:keepNext/>
      <w:outlineLvl w:val="5"/>
    </w:pPr>
    <w:rPr>
      <w:rFonts w:ascii="Century Schoolbook" w:hAnsi="Century Schoolbook"/>
      <w:b/>
      <w:i/>
      <w:sz w:val="22"/>
      <w:szCs w:val="20"/>
      <w:lang w:val="fr-FR"/>
    </w:rPr>
  </w:style>
  <w:style w:type="paragraph" w:styleId="Titre9">
    <w:name w:val="heading 9"/>
    <w:basedOn w:val="Normal"/>
    <w:next w:val="Normal"/>
    <w:qFormat/>
    <w:pPr>
      <w:outlineLvl w:val="8"/>
    </w:pPr>
    <w:rPr>
      <w:rFonts w:ascii="Century Schoolbook" w:hAnsi="Century Schoolbook"/>
      <w:i/>
      <w:sz w:val="22"/>
      <w:szCs w:val="20"/>
      <w:lang w:val="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link w:val="CorpsdetexteCar"/>
    <w:pPr>
      <w:pBdr>
        <w:top w:val="double" w:sz="4" w:space="1" w:color="auto"/>
        <w:left w:val="double" w:sz="4" w:space="4" w:color="auto"/>
        <w:bottom w:val="double" w:sz="4" w:space="1" w:color="auto"/>
        <w:right w:val="double" w:sz="4" w:space="4" w:color="auto"/>
      </w:pBdr>
      <w:jc w:val="center"/>
    </w:pPr>
    <w:rPr>
      <w:b/>
      <w:szCs w:val="20"/>
    </w:rPr>
  </w:style>
  <w:style w:type="paragraph" w:customStyle="1" w:styleId="Paragraphedeliste1">
    <w:name w:val="Paragraphe de liste1"/>
    <w:basedOn w:val="Normal"/>
    <w:pPr>
      <w:ind w:left="720"/>
      <w:contextualSpacing/>
    </w:pPr>
    <w:rPr>
      <w:rFonts w:ascii="Verdana" w:hAnsi="Verdana"/>
      <w:sz w:val="20"/>
      <w:szCs w:val="20"/>
      <w:lang w:eastAsia="en-US"/>
    </w:rPr>
  </w:style>
  <w:style w:type="paragraph" w:styleId="NormalWeb">
    <w:name w:val="Normal (Web)"/>
    <w:basedOn w:val="Normal"/>
    <w:unhideWhenUsed/>
    <w:pPr>
      <w:spacing w:before="100" w:beforeAutospacing="1" w:after="100" w:afterAutospacing="1"/>
    </w:pPr>
    <w:rPr>
      <w:lang w:eastAsia="fr-BE"/>
    </w:rPr>
  </w:style>
  <w:style w:type="paragraph" w:styleId="Notedebasdepage">
    <w:name w:val="footnote text"/>
    <w:basedOn w:val="Normal"/>
    <w:link w:val="NotedebasdepageCar"/>
    <w:uiPriority w:val="99"/>
    <w:semiHidden/>
    <w:rPr>
      <w:sz w:val="20"/>
      <w:szCs w:val="20"/>
      <w:lang w:val="fr-FR"/>
    </w:rPr>
  </w:style>
  <w:style w:type="character" w:styleId="Appelnotedebasdep">
    <w:name w:val="footnote reference"/>
    <w:basedOn w:val="Policepardfaut"/>
    <w:uiPriority w:val="99"/>
    <w:semiHidden/>
    <w:rPr>
      <w:vertAlign w:val="superscript"/>
    </w:rPr>
  </w:style>
  <w:style w:type="character" w:customStyle="1" w:styleId="NotedebasdepageCar">
    <w:name w:val="Note de bas de page Car"/>
    <w:basedOn w:val="Policepardfaut"/>
    <w:link w:val="Notedebasdepage"/>
    <w:uiPriority w:val="99"/>
    <w:semiHidden/>
    <w:locked/>
    <w:rPr>
      <w:lang w:val="fr-FR" w:eastAsia="fr-FR" w:bidi="ar-SA"/>
    </w:rPr>
  </w:style>
  <w:style w:type="character" w:styleId="Lienhypertexte">
    <w:name w:val="Hyperlink"/>
    <w:basedOn w:val="Policepardfaut"/>
    <w:uiPriority w:val="99"/>
    <w:rPr>
      <w:rFonts w:cs="Times New Roman"/>
      <w:color w:val="0000FF"/>
      <w:u w:val="single"/>
    </w:rPr>
  </w:style>
  <w:style w:type="paragraph" w:styleId="Textedebulles">
    <w:name w:val="Balloon Text"/>
    <w:basedOn w:val="Normal"/>
    <w:link w:val="TextedebullesCar"/>
    <w:semiHidden/>
    <w:rPr>
      <w:rFonts w:ascii="Tahoma" w:hAnsi="Tahoma" w:cs="Tahoma"/>
      <w:sz w:val="16"/>
      <w:szCs w:val="16"/>
    </w:rPr>
  </w:style>
  <w:style w:type="character" w:styleId="Marquedecommentaire">
    <w:name w:val="annotation reference"/>
    <w:basedOn w:val="Policepardfaut"/>
    <w:semiHidden/>
    <w:rPr>
      <w:sz w:val="16"/>
      <w:szCs w:val="16"/>
    </w:rPr>
  </w:style>
  <w:style w:type="paragraph" w:styleId="Commentaire">
    <w:name w:val="annotation text"/>
    <w:basedOn w:val="Normal"/>
    <w:link w:val="CommentaireCar"/>
    <w:semiHidden/>
    <w:rPr>
      <w:sz w:val="20"/>
      <w:szCs w:val="20"/>
    </w:rPr>
  </w:style>
  <w:style w:type="paragraph" w:styleId="Objetducommentaire">
    <w:name w:val="annotation subject"/>
    <w:basedOn w:val="Commentaire"/>
    <w:next w:val="Commentaire"/>
    <w:link w:val="ObjetducommentaireCar"/>
    <w:semiHidden/>
    <w:rPr>
      <w:b/>
      <w:bCs/>
    </w:rPr>
  </w:style>
  <w:style w:type="paragraph" w:styleId="En-tte">
    <w:name w:val="header"/>
    <w:basedOn w:val="Normal"/>
    <w:link w:val="En-tteCar"/>
    <w:pPr>
      <w:tabs>
        <w:tab w:val="center" w:pos="4536"/>
        <w:tab w:val="right" w:pos="9072"/>
      </w:tabs>
    </w:pPr>
    <w:rPr>
      <w:rFonts w:ascii="Century Schoolbook" w:hAnsi="Century Schoolbook"/>
      <w:szCs w:val="20"/>
      <w:lang w:val="fr-FR"/>
    </w:rPr>
  </w:style>
  <w:style w:type="character" w:customStyle="1" w:styleId="En-tteCar">
    <w:name w:val="En-tête Car"/>
    <w:basedOn w:val="Policepardfaut"/>
    <w:link w:val="En-tte"/>
    <w:semiHidden/>
    <w:locked/>
    <w:rPr>
      <w:rFonts w:ascii="Century Schoolbook" w:hAnsi="Century Schoolbook"/>
      <w:sz w:val="24"/>
      <w:lang w:val="fr-FR" w:eastAsia="fr-FR" w:bidi="ar-SA"/>
    </w:rPr>
  </w:style>
  <w:style w:type="paragraph" w:styleId="Pieddepage">
    <w:name w:val="footer"/>
    <w:basedOn w:val="Normal"/>
    <w:link w:val="PieddepageCar"/>
    <w:uiPriority w:val="99"/>
    <w:pPr>
      <w:tabs>
        <w:tab w:val="center" w:pos="4536"/>
        <w:tab w:val="right" w:pos="9072"/>
      </w:tabs>
    </w:pPr>
    <w:rPr>
      <w:rFonts w:ascii="Century Schoolbook" w:hAnsi="Century Schoolbook"/>
      <w:szCs w:val="20"/>
      <w:lang w:val="fr-FR"/>
    </w:rPr>
  </w:style>
  <w:style w:type="character" w:customStyle="1" w:styleId="PieddepageCar">
    <w:name w:val="Pied de page Car"/>
    <w:basedOn w:val="Policepardfaut"/>
    <w:link w:val="Pieddepage"/>
    <w:uiPriority w:val="99"/>
    <w:locked/>
    <w:rPr>
      <w:rFonts w:ascii="Century Schoolbook" w:hAnsi="Century Schoolbook"/>
      <w:sz w:val="24"/>
      <w:lang w:val="fr-FR" w:eastAsia="fr-FR" w:bidi="ar-SA"/>
    </w:rPr>
  </w:style>
  <w:style w:type="character" w:styleId="Numrodepage">
    <w:name w:val="page number"/>
    <w:basedOn w:val="Policepardfaut"/>
    <w:uiPriority w:val="99"/>
  </w:style>
  <w:style w:type="paragraph" w:styleId="Retraitcorpsdetexte">
    <w:name w:val="Body Text Indent"/>
    <w:basedOn w:val="Normal"/>
    <w:pPr>
      <w:spacing w:line="240" w:lineRule="exact"/>
      <w:ind w:firstLine="567"/>
      <w:jc w:val="both"/>
    </w:pPr>
    <w:rPr>
      <w:rFonts w:ascii="Century Schoolbook" w:hAnsi="Century Schoolbook"/>
      <w:szCs w:val="20"/>
      <w:lang w:val="fr-FR"/>
    </w:rPr>
  </w:style>
  <w:style w:type="paragraph" w:customStyle="1" w:styleId="signatures">
    <w:name w:val="signatures"/>
    <w:basedOn w:val="Retraitcorpsdetexte"/>
    <w:autoRedefine/>
    <w:pPr>
      <w:spacing w:after="160"/>
      <w:ind w:firstLine="0"/>
      <w:jc w:val="center"/>
    </w:pPr>
  </w:style>
  <w:style w:type="paragraph" w:customStyle="1" w:styleId="test">
    <w:name w:val="test"/>
    <w:basedOn w:val="En-tte"/>
    <w:rPr>
      <w:b/>
      <w:sz w:val="28"/>
    </w:rPr>
  </w:style>
  <w:style w:type="character" w:customStyle="1" w:styleId="CommentaireCar">
    <w:name w:val="Commentaire Car"/>
    <w:basedOn w:val="Policepardfaut"/>
    <w:link w:val="Commentaire"/>
    <w:semiHidden/>
    <w:locked/>
    <w:rPr>
      <w:lang w:val="fr-BE" w:eastAsia="fr-FR" w:bidi="ar-SA"/>
    </w:rPr>
  </w:style>
  <w:style w:type="paragraph" w:customStyle="1" w:styleId="Article">
    <w:name w:val="Article"/>
    <w:basedOn w:val="Retraitcorpsdetexte"/>
    <w:pPr>
      <w:spacing w:after="240"/>
      <w:ind w:firstLine="851"/>
    </w:pPr>
  </w:style>
  <w:style w:type="paragraph" w:customStyle="1" w:styleId="tab">
    <w:name w:val="tab"/>
    <w:basedOn w:val="Titre3"/>
    <w:pPr>
      <w:tabs>
        <w:tab w:val="left" w:pos="284"/>
        <w:tab w:val="left" w:pos="851"/>
        <w:tab w:val="left" w:pos="1418"/>
      </w:tabs>
      <w:spacing w:before="0" w:after="0" w:line="240" w:lineRule="exact"/>
    </w:pPr>
    <w:rPr>
      <w:rFonts w:cs="Times New Roman"/>
      <w:b/>
      <w:bCs w:val="0"/>
      <w:i w:val="0"/>
      <w:color w:val="000000"/>
      <w:sz w:val="28"/>
      <w:szCs w:val="20"/>
      <w:lang w:val="fr-BE"/>
    </w:rPr>
  </w:style>
  <w:style w:type="paragraph" w:customStyle="1" w:styleId="Chapitre">
    <w:name w:val="Chapitre"/>
    <w:basedOn w:val="Retraitcorpsdetexte"/>
    <w:pPr>
      <w:spacing w:before="240" w:after="240"/>
      <w:ind w:firstLine="0"/>
      <w:jc w:val="center"/>
    </w:pPr>
    <w:rPr>
      <w:b/>
    </w:rPr>
  </w:style>
  <w:style w:type="paragraph" w:customStyle="1" w:styleId="TitresAnnexe">
    <w:name w:val="TitresAnnexe"/>
    <w:basedOn w:val="Retraitcorpsdetexte"/>
    <w:pPr>
      <w:keepNext/>
      <w:spacing w:before="240" w:after="120"/>
      <w:ind w:firstLine="0"/>
    </w:pPr>
  </w:style>
  <w:style w:type="paragraph" w:customStyle="1" w:styleId="TitreAnnexe">
    <w:name w:val="TitreAnnexe"/>
    <w:basedOn w:val="Normal"/>
    <w:pPr>
      <w:keepNext/>
      <w:spacing w:before="240" w:after="120"/>
      <w:ind w:left="1134"/>
    </w:pPr>
    <w:rPr>
      <w:rFonts w:ascii="Century Schoolbook" w:hAnsi="Century Schoolbook"/>
      <w:szCs w:val="20"/>
      <w:lang w:val="fr-FR"/>
    </w:rPr>
  </w:style>
  <w:style w:type="paragraph" w:customStyle="1" w:styleId="H3">
    <w:name w:val="H3"/>
    <w:basedOn w:val="Normal"/>
    <w:next w:val="Normal"/>
    <w:pPr>
      <w:keepNext/>
      <w:spacing w:before="100" w:after="100"/>
      <w:outlineLvl w:val="3"/>
    </w:pPr>
    <w:rPr>
      <w:b/>
      <w:snapToGrid w:val="0"/>
      <w:sz w:val="28"/>
      <w:szCs w:val="20"/>
      <w:lang w:val="fr-FR"/>
    </w:rPr>
  </w:style>
  <w:style w:type="character" w:customStyle="1" w:styleId="TextedebullesCar">
    <w:name w:val="Texte de bulles Car"/>
    <w:basedOn w:val="Policepardfaut"/>
    <w:link w:val="Textedebulles"/>
    <w:semiHidden/>
    <w:locked/>
    <w:rPr>
      <w:rFonts w:ascii="Tahoma" w:hAnsi="Tahoma" w:cs="Tahoma"/>
      <w:sz w:val="16"/>
      <w:szCs w:val="16"/>
      <w:lang w:val="fr-BE" w:eastAsia="fr-FR" w:bidi="ar-SA"/>
    </w:rPr>
  </w:style>
  <w:style w:type="paragraph" w:styleId="Sous-titre">
    <w:name w:val="Subtitle"/>
    <w:basedOn w:val="Normal"/>
    <w:next w:val="Corpsdetexte"/>
    <w:link w:val="Sous-titreCar"/>
    <w:qFormat/>
    <w:pPr>
      <w:suppressAutoHyphens/>
      <w:jc w:val="center"/>
    </w:pPr>
    <w:rPr>
      <w:rFonts w:ascii="Comic Sans MS" w:eastAsia="Calibri" w:hAnsi="Comic Sans MS"/>
      <w:b/>
      <w:bCs/>
      <w:sz w:val="20"/>
      <w:lang w:eastAsia="ar-SA"/>
    </w:rPr>
  </w:style>
  <w:style w:type="character" w:customStyle="1" w:styleId="CorpsdetexteCar">
    <w:name w:val="Corps de texte Car"/>
    <w:basedOn w:val="Policepardfaut"/>
    <w:link w:val="Corpsdetexte"/>
    <w:locked/>
    <w:rPr>
      <w:b/>
      <w:sz w:val="24"/>
      <w:lang w:val="fr-BE" w:eastAsia="fr-FR" w:bidi="ar-SA"/>
    </w:rPr>
  </w:style>
  <w:style w:type="character" w:customStyle="1" w:styleId="Sous-titreCar">
    <w:name w:val="Sous-titre Car"/>
    <w:basedOn w:val="Policepardfaut"/>
    <w:link w:val="Sous-titre"/>
    <w:locked/>
    <w:rPr>
      <w:rFonts w:ascii="Comic Sans MS" w:eastAsia="Calibri" w:hAnsi="Comic Sans MS"/>
      <w:b/>
      <w:bCs/>
      <w:szCs w:val="24"/>
      <w:lang w:val="fr-BE" w:eastAsia="ar-SA" w:bidi="ar-SA"/>
    </w:rPr>
  </w:style>
  <w:style w:type="paragraph" w:customStyle="1" w:styleId="CarCarCarCarCarCarCarCarCarCarCarCarCarCarCar">
    <w:name w:val="Car Car Car Car Car Car Car Car Car Car Car Car Car Car Car"/>
    <w:basedOn w:val="Normal"/>
    <w:pPr>
      <w:spacing w:after="160" w:line="240" w:lineRule="exact"/>
    </w:pPr>
    <w:rPr>
      <w:rFonts w:ascii="Tahoma" w:eastAsia="Calibri" w:hAnsi="Tahoma"/>
      <w:sz w:val="20"/>
      <w:szCs w:val="20"/>
      <w:lang w:val="en-US" w:eastAsia="en-US"/>
    </w:rPr>
  </w:style>
  <w:style w:type="character" w:customStyle="1" w:styleId="ObjetducommentaireCar">
    <w:name w:val="Objet du commentaire Car"/>
    <w:basedOn w:val="CommentaireCar"/>
    <w:link w:val="Objetducommentaire"/>
    <w:semiHidden/>
    <w:locked/>
    <w:rPr>
      <w:b/>
      <w:bCs/>
      <w:lang w:val="fr-BE" w:eastAsia="fr-FR" w:bidi="ar-SA"/>
    </w:rPr>
  </w:style>
  <w:style w:type="paragraph" w:customStyle="1" w:styleId="xmsonormal">
    <w:name w:val="x_msonormal"/>
    <w:basedOn w:val="Normal"/>
    <w:pPr>
      <w:spacing w:before="100" w:beforeAutospacing="1" w:after="100" w:afterAutospacing="1"/>
    </w:pPr>
    <w:rPr>
      <w:lang w:val="fr-FR"/>
    </w:rPr>
  </w:style>
  <w:style w:type="table" w:styleId="Grilledutableau">
    <w:name w:val="Table Grid"/>
    <w:basedOn w:val="TableauNormal"/>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link w:val="ParagraphedelisteCar"/>
    <w:uiPriority w:val="34"/>
    <w:qFormat/>
    <w:pPr>
      <w:ind w:left="708"/>
    </w:pPr>
  </w:style>
  <w:style w:type="paragraph" w:customStyle="1" w:styleId="Default">
    <w:name w:val="Default"/>
    <w:pPr>
      <w:autoSpaceDE w:val="0"/>
      <w:autoSpaceDN w:val="0"/>
      <w:adjustRightInd w:val="0"/>
    </w:pPr>
    <w:rPr>
      <w:rFonts w:ascii="Verdana" w:hAnsi="Verdana" w:cs="Verdana"/>
      <w:color w:val="000000"/>
      <w:sz w:val="24"/>
      <w:szCs w:val="24"/>
    </w:rPr>
  </w:style>
  <w:style w:type="character" w:styleId="Lienhypertextesuivivisit">
    <w:name w:val="FollowedHyperlink"/>
    <w:basedOn w:val="Policepardfaut"/>
    <w:rPr>
      <w:color w:val="800080"/>
      <w:u w:val="single"/>
    </w:rPr>
  </w:style>
  <w:style w:type="paragraph" w:styleId="Notedefin">
    <w:name w:val="endnote text"/>
    <w:basedOn w:val="Normal"/>
    <w:link w:val="NotedefinCar"/>
    <w:rPr>
      <w:sz w:val="20"/>
      <w:szCs w:val="20"/>
    </w:rPr>
  </w:style>
  <w:style w:type="character" w:customStyle="1" w:styleId="NotedefinCar">
    <w:name w:val="Note de fin Car"/>
    <w:basedOn w:val="Policepardfaut"/>
    <w:link w:val="Notedefin"/>
    <w:rPr>
      <w:lang w:eastAsia="fr-FR"/>
    </w:rPr>
  </w:style>
  <w:style w:type="character" w:styleId="Appeldenotedefin">
    <w:name w:val="endnote reference"/>
    <w:basedOn w:val="Policepardfaut"/>
    <w:rPr>
      <w:vertAlign w:val="superscript"/>
    </w:rPr>
  </w:style>
  <w:style w:type="character" w:customStyle="1" w:styleId="st1">
    <w:name w:val="st1"/>
    <w:basedOn w:val="Policepardfaut"/>
  </w:style>
  <w:style w:type="paragraph" w:styleId="Rvision">
    <w:name w:val="Revision"/>
    <w:hidden/>
    <w:uiPriority w:val="99"/>
    <w:semiHidden/>
    <w:rPr>
      <w:sz w:val="24"/>
      <w:szCs w:val="24"/>
      <w:lang w:eastAsia="fr-FR"/>
    </w:rPr>
  </w:style>
  <w:style w:type="paragraph" w:customStyle="1" w:styleId="Paragraphevademecumformif">
    <w:name w:val="Paragraphe vade mecum formif"/>
    <w:basedOn w:val="Normal"/>
    <w:link w:val="ParagraphevademecumformifCar"/>
    <w:pPr>
      <w:spacing w:before="240" w:after="240" w:line="360" w:lineRule="auto"/>
      <w:jc w:val="both"/>
    </w:pPr>
    <w:rPr>
      <w:rFonts w:ascii="Tahoma" w:hAnsi="Tahoma"/>
      <w:sz w:val="20"/>
      <w:lang w:val="fr-FR"/>
    </w:rPr>
  </w:style>
  <w:style w:type="character" w:customStyle="1" w:styleId="ParagraphevademecumformifCar">
    <w:name w:val="Paragraphe vade mecum formif Car"/>
    <w:basedOn w:val="Policepardfaut"/>
    <w:link w:val="Paragraphevademecumformif"/>
    <w:rPr>
      <w:rFonts w:ascii="Tahoma" w:hAnsi="Tahoma"/>
      <w:szCs w:val="24"/>
      <w:lang w:val="fr-FR" w:eastAsia="fr-FR"/>
    </w:rPr>
  </w:style>
  <w:style w:type="character" w:customStyle="1" w:styleId="ParagraphedelisteCar">
    <w:name w:val="Paragraphe de liste Car"/>
    <w:link w:val="Paragraphedeliste"/>
    <w:uiPriority w:val="34"/>
    <w:rPr>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6221017">
      <w:bodyDiv w:val="1"/>
      <w:marLeft w:val="0"/>
      <w:marRight w:val="0"/>
      <w:marTop w:val="0"/>
      <w:marBottom w:val="0"/>
      <w:divBdr>
        <w:top w:val="none" w:sz="0" w:space="0" w:color="auto"/>
        <w:left w:val="none" w:sz="0" w:space="0" w:color="auto"/>
        <w:bottom w:val="none" w:sz="0" w:space="0" w:color="auto"/>
        <w:right w:val="none" w:sz="0" w:space="0" w:color="auto"/>
      </w:divBdr>
    </w:div>
    <w:div w:id="843394581">
      <w:bodyDiv w:val="1"/>
      <w:marLeft w:val="0"/>
      <w:marRight w:val="0"/>
      <w:marTop w:val="0"/>
      <w:marBottom w:val="0"/>
      <w:divBdr>
        <w:top w:val="none" w:sz="0" w:space="0" w:color="auto"/>
        <w:left w:val="none" w:sz="0" w:space="0" w:color="auto"/>
        <w:bottom w:val="none" w:sz="0" w:space="0" w:color="auto"/>
        <w:right w:val="none" w:sz="0" w:space="0" w:color="auto"/>
      </w:divBdr>
    </w:div>
    <w:div w:id="1285652150">
      <w:bodyDiv w:val="1"/>
      <w:marLeft w:val="0"/>
      <w:marRight w:val="0"/>
      <w:marTop w:val="0"/>
      <w:marBottom w:val="0"/>
      <w:divBdr>
        <w:top w:val="none" w:sz="0" w:space="0" w:color="auto"/>
        <w:left w:val="none" w:sz="0" w:space="0" w:color="auto"/>
        <w:bottom w:val="none" w:sz="0" w:space="0" w:color="auto"/>
        <w:right w:val="none" w:sz="0" w:space="0" w:color="auto"/>
      </w:divBdr>
    </w:div>
    <w:div w:id="1550219331">
      <w:bodyDiv w:val="1"/>
      <w:marLeft w:val="0"/>
      <w:marRight w:val="0"/>
      <w:marTop w:val="0"/>
      <w:marBottom w:val="0"/>
      <w:divBdr>
        <w:top w:val="none" w:sz="0" w:space="0" w:color="auto"/>
        <w:left w:val="none" w:sz="0" w:space="0" w:color="auto"/>
        <w:bottom w:val="none" w:sz="0" w:space="0" w:color="auto"/>
        <w:right w:val="none" w:sz="0" w:space="0" w:color="auto"/>
      </w:divBdr>
    </w:div>
    <w:div w:id="1854879488">
      <w:bodyDiv w:val="1"/>
      <w:marLeft w:val="0"/>
      <w:marRight w:val="0"/>
      <w:marTop w:val="0"/>
      <w:marBottom w:val="0"/>
      <w:divBdr>
        <w:top w:val="none" w:sz="0" w:space="0" w:color="auto"/>
        <w:left w:val="none" w:sz="0" w:space="0" w:color="auto"/>
        <w:bottom w:val="none" w:sz="0" w:space="0" w:color="auto"/>
        <w:right w:val="none" w:sz="0" w:space="0" w:color="auto"/>
      </w:divBdr>
    </w:div>
    <w:div w:id="1967007139">
      <w:bodyDiv w:val="1"/>
      <w:marLeft w:val="0"/>
      <w:marRight w:val="0"/>
      <w:marTop w:val="0"/>
      <w:marBottom w:val="0"/>
      <w:divBdr>
        <w:top w:val="none" w:sz="0" w:space="0" w:color="auto"/>
        <w:left w:val="none" w:sz="0" w:space="0" w:color="auto"/>
        <w:bottom w:val="none" w:sz="0" w:space="0" w:color="auto"/>
        <w:right w:val="none" w:sz="0" w:space="0" w:color="auto"/>
      </w:divBdr>
      <w:divsChild>
        <w:div w:id="1694722320">
          <w:marLeft w:val="1123"/>
          <w:marRight w:val="0"/>
          <w:marTop w:val="134"/>
          <w:marBottom w:val="0"/>
          <w:divBdr>
            <w:top w:val="none" w:sz="0" w:space="0" w:color="auto"/>
            <w:left w:val="none" w:sz="0" w:space="0" w:color="auto"/>
            <w:bottom w:val="none" w:sz="0" w:space="0" w:color="auto"/>
            <w:right w:val="none" w:sz="0" w:space="0" w:color="auto"/>
          </w:divBdr>
        </w:div>
        <w:div w:id="763647087">
          <w:marLeft w:val="1123"/>
          <w:marRight w:val="0"/>
          <w:marTop w:val="134"/>
          <w:marBottom w:val="0"/>
          <w:divBdr>
            <w:top w:val="none" w:sz="0" w:space="0" w:color="auto"/>
            <w:left w:val="none" w:sz="0" w:space="0" w:color="auto"/>
            <w:bottom w:val="none" w:sz="0" w:space="0" w:color="auto"/>
            <w:right w:val="none" w:sz="0" w:space="0" w:color="auto"/>
          </w:divBdr>
        </w:div>
        <w:div w:id="880484429">
          <w:marLeft w:val="1123"/>
          <w:marRight w:val="0"/>
          <w:marTop w:val="134"/>
          <w:marBottom w:val="0"/>
          <w:divBdr>
            <w:top w:val="none" w:sz="0" w:space="0" w:color="auto"/>
            <w:left w:val="none" w:sz="0" w:space="0" w:color="auto"/>
            <w:bottom w:val="none" w:sz="0" w:space="0" w:color="auto"/>
            <w:right w:val="none" w:sz="0" w:space="0" w:color="auto"/>
          </w:divBdr>
        </w:div>
        <w:div w:id="1140879758">
          <w:marLeft w:val="1123"/>
          <w:marRight w:val="0"/>
          <w:marTop w:val="134"/>
          <w:marBottom w:val="0"/>
          <w:divBdr>
            <w:top w:val="none" w:sz="0" w:space="0" w:color="auto"/>
            <w:left w:val="none" w:sz="0" w:space="0" w:color="auto"/>
            <w:bottom w:val="none" w:sz="0" w:space="0" w:color="auto"/>
            <w:right w:val="none" w:sz="0" w:space="0" w:color="auto"/>
          </w:divBdr>
        </w:div>
      </w:divsChild>
    </w:div>
    <w:div w:id="2066029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3.xml"/><Relationship Id="rId21" Type="http://schemas.openxmlformats.org/officeDocument/2006/relationships/image" Target="media/image6.jpg"/><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image" Target="media/image27.jpeg"/><Relationship Id="rId55" Type="http://schemas.openxmlformats.org/officeDocument/2006/relationships/image" Target="media/image32.jpeg"/><Relationship Id="rId63" Type="http://schemas.openxmlformats.org/officeDocument/2006/relationships/image" Target="media/image40.jpeg"/><Relationship Id="rId68" Type="http://schemas.openxmlformats.org/officeDocument/2006/relationships/image" Target="media/image45.png"/><Relationship Id="rId76" Type="http://schemas.openxmlformats.org/officeDocument/2006/relationships/image" Target="media/image53.png"/><Relationship Id="rId84" Type="http://schemas.openxmlformats.org/officeDocument/2006/relationships/image" Target="media/image61.png"/><Relationship Id="rId89" Type="http://schemas.openxmlformats.org/officeDocument/2006/relationships/image" Target="media/image66.png"/><Relationship Id="rId97" Type="http://schemas.openxmlformats.org/officeDocument/2006/relationships/header" Target="header6.xml"/><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69.png"/><Relationship Id="rId2" Type="http://schemas.openxmlformats.org/officeDocument/2006/relationships/numbering" Target="numbering.xml"/><Relationship Id="rId16" Type="http://schemas.openxmlformats.org/officeDocument/2006/relationships/hyperlink" Target="file:///\\Scfwb12\Doeecpmssims\Service%20g&#233;n&#233;ral_1\D3\Fonds%20d'&#233;quipements-CTA%20et%20Cadastre\COMMUN%20CTA-EPPEQ\REGLEMENTATION\bernard.havaux@cfwb.be" TargetMode="External"/><Relationship Id="rId29" Type="http://schemas.openxmlformats.org/officeDocument/2006/relationships/header" Target="header5.xml"/><Relationship Id="rId11" Type="http://schemas.openxmlformats.org/officeDocument/2006/relationships/image" Target="media/image4.jpeg"/><Relationship Id="rId24" Type="http://schemas.openxmlformats.org/officeDocument/2006/relationships/image" Target="media/image7.jpeg"/><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image" Target="media/image30.jpeg"/><Relationship Id="rId58" Type="http://schemas.openxmlformats.org/officeDocument/2006/relationships/image" Target="media/image35.jpeg"/><Relationship Id="rId66" Type="http://schemas.openxmlformats.org/officeDocument/2006/relationships/image" Target="media/image43.jpeg"/><Relationship Id="rId74" Type="http://schemas.openxmlformats.org/officeDocument/2006/relationships/image" Target="media/image51.png"/><Relationship Id="rId79" Type="http://schemas.openxmlformats.org/officeDocument/2006/relationships/image" Target="media/image56.png"/><Relationship Id="rId87" Type="http://schemas.openxmlformats.org/officeDocument/2006/relationships/image" Target="media/image64.png"/><Relationship Id="rId5" Type="http://schemas.openxmlformats.org/officeDocument/2006/relationships/webSettings" Target="webSettings.xml"/><Relationship Id="rId61" Type="http://schemas.openxmlformats.org/officeDocument/2006/relationships/image" Target="media/image38.jpeg"/><Relationship Id="rId82" Type="http://schemas.openxmlformats.org/officeDocument/2006/relationships/image" Target="media/image59.png"/><Relationship Id="rId90" Type="http://schemas.openxmlformats.org/officeDocument/2006/relationships/image" Target="media/image67.png"/><Relationship Id="rId95" Type="http://schemas.openxmlformats.org/officeDocument/2006/relationships/hyperlink" Target="https://www.ged.cfwb.be" TargetMode="External"/><Relationship Id="rId19" Type="http://schemas.openxmlformats.org/officeDocument/2006/relationships/hyperlink" Target="mailto:thomas.belladone@cfwb.be" TargetMode="External"/><Relationship Id="rId14" Type="http://schemas.openxmlformats.org/officeDocument/2006/relationships/hyperlink" Target="file:///\\Scfwb12\Doeecpmssims\Service%20g&#233;n&#233;ral_1\D3\Fonds%20d'&#233;quipements-CTA%20et%20Cadastre\COMMUN%20CTA-EPPEQ\REGLEMENTATION\florence.marcelli@cfwb.be" TargetMode="External"/><Relationship Id="rId22" Type="http://schemas.openxmlformats.org/officeDocument/2006/relationships/header" Target="header2.xml"/><Relationship Id="rId27" Type="http://schemas.openxmlformats.org/officeDocument/2006/relationships/header" Target="header4.xml"/><Relationship Id="rId30" Type="http://schemas.openxmlformats.org/officeDocument/2006/relationships/footer" Target="footer5.xml"/><Relationship Id="rId35" Type="http://schemas.openxmlformats.org/officeDocument/2006/relationships/image" Target="media/image12.jpeg"/><Relationship Id="rId43" Type="http://schemas.openxmlformats.org/officeDocument/2006/relationships/image" Target="media/image20.jpeg"/><Relationship Id="rId48" Type="http://schemas.openxmlformats.org/officeDocument/2006/relationships/image" Target="media/image25.jpeg"/><Relationship Id="rId56" Type="http://schemas.openxmlformats.org/officeDocument/2006/relationships/image" Target="media/image33.jpeg"/><Relationship Id="rId64" Type="http://schemas.openxmlformats.org/officeDocument/2006/relationships/image" Target="media/image41.jpeg"/><Relationship Id="rId69" Type="http://schemas.openxmlformats.org/officeDocument/2006/relationships/image" Target="media/image46.png"/><Relationship Id="rId77" Type="http://schemas.openxmlformats.org/officeDocument/2006/relationships/image" Target="media/image54.png"/><Relationship Id="rId100"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8.jpeg"/><Relationship Id="rId72" Type="http://schemas.openxmlformats.org/officeDocument/2006/relationships/image" Target="media/image49.png"/><Relationship Id="rId80" Type="http://schemas.openxmlformats.org/officeDocument/2006/relationships/image" Target="media/image57.png"/><Relationship Id="rId85" Type="http://schemas.openxmlformats.org/officeDocument/2006/relationships/image" Target="media/image62.png"/><Relationship Id="rId93" Type="http://schemas.openxmlformats.org/officeDocument/2006/relationships/image" Target="media/image70.png"/><Relationship Id="rId98" Type="http://schemas.openxmlformats.org/officeDocument/2006/relationships/footer" Target="footer6.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s://www.enseignement.cfwb.be/archibus/login.axvw" TargetMode="External"/><Relationship Id="rId25" Type="http://schemas.openxmlformats.org/officeDocument/2006/relationships/header" Target="header3.xml"/><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23.jpeg"/><Relationship Id="rId59" Type="http://schemas.openxmlformats.org/officeDocument/2006/relationships/image" Target="media/image36.jpeg"/><Relationship Id="rId67" Type="http://schemas.openxmlformats.org/officeDocument/2006/relationships/image" Target="media/image44.png"/><Relationship Id="rId20" Type="http://schemas.openxmlformats.org/officeDocument/2006/relationships/image" Target="media/image5.jpeg"/><Relationship Id="rId41" Type="http://schemas.openxmlformats.org/officeDocument/2006/relationships/image" Target="media/image18.jpeg"/><Relationship Id="rId54" Type="http://schemas.openxmlformats.org/officeDocument/2006/relationships/image" Target="media/image31.jpeg"/><Relationship Id="rId62" Type="http://schemas.openxmlformats.org/officeDocument/2006/relationships/image" Target="media/image39.jpeg"/><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png"/><Relationship Id="rId96" Type="http://schemas.openxmlformats.org/officeDocument/2006/relationships/image" Target="media/image7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eddy.degelaen@cfwb.be" TargetMode="External"/><Relationship Id="rId23" Type="http://schemas.openxmlformats.org/officeDocument/2006/relationships/footer" Target="footer2.xml"/><Relationship Id="rId28" Type="http://schemas.openxmlformats.org/officeDocument/2006/relationships/footer" Target="footer4.xml"/><Relationship Id="rId36" Type="http://schemas.openxmlformats.org/officeDocument/2006/relationships/image" Target="media/image13.jpeg"/><Relationship Id="rId49" Type="http://schemas.openxmlformats.org/officeDocument/2006/relationships/image" Target="media/image26.jpeg"/><Relationship Id="rId57" Type="http://schemas.openxmlformats.org/officeDocument/2006/relationships/image" Target="media/image34.jpeg"/><Relationship Id="rId10" Type="http://schemas.openxmlformats.org/officeDocument/2006/relationships/image" Target="media/image3.jpeg"/><Relationship Id="rId31" Type="http://schemas.openxmlformats.org/officeDocument/2006/relationships/image" Target="media/image8.jpeg"/><Relationship Id="rId44" Type="http://schemas.openxmlformats.org/officeDocument/2006/relationships/image" Target="media/image21.jpeg"/><Relationship Id="rId52" Type="http://schemas.openxmlformats.org/officeDocument/2006/relationships/image" Target="media/image29.jpeg"/><Relationship Id="rId60" Type="http://schemas.openxmlformats.org/officeDocument/2006/relationships/image" Target="media/image37.jpeg"/><Relationship Id="rId65" Type="http://schemas.openxmlformats.org/officeDocument/2006/relationships/image" Target="media/image42.jpe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94" Type="http://schemas.openxmlformats.org/officeDocument/2006/relationships/image" Target="media/image71.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footer" Target="footer1.xml"/><Relationship Id="rId18" Type="http://schemas.openxmlformats.org/officeDocument/2006/relationships/hyperlink" Target="mailto:didier.milis@cfwb.be" TargetMode="External"/><Relationship Id="rId39" Type="http://schemas.openxmlformats.org/officeDocument/2006/relationships/image" Target="media/image16.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57B9696-1C11-405C-95FE-752D7AA581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142</Pages>
  <Words>33436</Words>
  <Characters>189929</Characters>
  <Application>Microsoft Office Word</Application>
  <DocSecurity>0</DocSecurity>
  <Lines>1582</Lines>
  <Paragraphs>445</Paragraphs>
  <ScaleCrop>false</ScaleCrop>
  <HeadingPairs>
    <vt:vector size="2" baseType="variant">
      <vt:variant>
        <vt:lpstr>Titre</vt:lpstr>
      </vt:variant>
      <vt:variant>
        <vt:i4>1</vt:i4>
      </vt:variant>
    </vt:vector>
  </HeadingPairs>
  <TitlesOfParts>
    <vt:vector size="1" baseType="lpstr">
      <vt:lpstr>Analyse des nouveaux accords de coopération et du nouveau décret garantissant l’équipement pédagogique de l’enseignement qualifiant et fixant l’organisation des CTA</vt:lpstr>
    </vt:vector>
  </TitlesOfParts>
  <Company>ETNIC</Company>
  <LinksUpToDate>false</LinksUpToDate>
  <CharactersWithSpaces>222920</CharactersWithSpaces>
  <SharedDoc>false</SharedDoc>
  <HLinks>
    <vt:vector size="30" baseType="variant">
      <vt:variant>
        <vt:i4>1245283</vt:i4>
      </vt:variant>
      <vt:variant>
        <vt:i4>176</vt:i4>
      </vt:variant>
      <vt:variant>
        <vt:i4>0</vt:i4>
      </vt:variant>
      <vt:variant>
        <vt:i4>5</vt:i4>
      </vt:variant>
      <vt:variant>
        <vt:lpwstr>mailto:thomas.belladone@cfwb.be</vt:lpwstr>
      </vt:variant>
      <vt:variant>
        <vt:lpwstr/>
      </vt:variant>
      <vt:variant>
        <vt:i4>983152</vt:i4>
      </vt:variant>
      <vt:variant>
        <vt:i4>173</vt:i4>
      </vt:variant>
      <vt:variant>
        <vt:i4>0</vt:i4>
      </vt:variant>
      <vt:variant>
        <vt:i4>5</vt:i4>
      </vt:variant>
      <vt:variant>
        <vt:lpwstr>mailto:didier.milis@cfwb.be</vt:lpwstr>
      </vt:variant>
      <vt:variant>
        <vt:lpwstr/>
      </vt:variant>
      <vt:variant>
        <vt:i4>1638476</vt:i4>
      </vt:variant>
      <vt:variant>
        <vt:i4>170</vt:i4>
      </vt:variant>
      <vt:variant>
        <vt:i4>0</vt:i4>
      </vt:variant>
      <vt:variant>
        <vt:i4>5</vt:i4>
      </vt:variant>
      <vt:variant>
        <vt:lpwstr>https://www.enseignement.cfwb.be/archibus/login.axvw</vt:lpwstr>
      </vt:variant>
      <vt:variant>
        <vt:lpwstr/>
      </vt:variant>
      <vt:variant>
        <vt:i4>2228269</vt:i4>
      </vt:variant>
      <vt:variant>
        <vt:i4>167</vt:i4>
      </vt:variant>
      <vt:variant>
        <vt:i4>0</vt:i4>
      </vt:variant>
      <vt:variant>
        <vt:i4>5</vt:i4>
      </vt:variant>
      <vt:variant>
        <vt:lpwstr>http://plushaut.europe.wallonie.be/porteurs-de-projets/kit-de-communication</vt:lpwstr>
      </vt:variant>
      <vt:variant>
        <vt:lpwstr/>
      </vt:variant>
      <vt:variant>
        <vt:i4>2687008</vt:i4>
      </vt:variant>
      <vt:variant>
        <vt:i4>164</vt:i4>
      </vt:variant>
      <vt:variant>
        <vt:i4>0</vt:i4>
      </vt:variant>
      <vt:variant>
        <vt:i4>5</vt:i4>
      </vt:variant>
      <vt:variant>
        <vt:lpwstr>http://europe.wallonie.be/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Analyse des nouveaux accords de coopération et du nouveau décret garantissant l’équipement pédagogique de l’enseignement qualifiant et fixant l’organisation des CTA</dc:title>
  <dc:creator>ETNIC</dc:creator>
  <cp:lastModifiedBy>DRIESEN Olivier</cp:lastModifiedBy>
  <cp:revision>3</cp:revision>
  <cp:lastPrinted>2018-09-25T14:13:00Z</cp:lastPrinted>
  <dcterms:created xsi:type="dcterms:W3CDTF">2018-09-25T14:12:00Z</dcterms:created>
  <dcterms:modified xsi:type="dcterms:W3CDTF">2018-09-25T14:13:00Z</dcterms:modified>
</cp:coreProperties>
</file>